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City of Largo: Responding to Amendment 3</w:t>
      </w:r>
    </w:p>
    <w:p>
      <w:pPr>
        <w:pStyle w:val="Heading2"/>
      </w:pPr>
      <w:r>
        <w:t xml:space="preserve">A citizen's plan to keep the most programs, including the Performing Arts Center</w:t>
      </w:r>
    </w:p>
    <w:p>
      <w:r>
        <w:t xml:space="preserve">Prepared by a Largo resident, November 4, 2026. This is a starting draft for the City Manager, City Attorney and City Commission. It is not legal advice. Every item marked [COUNSEL DETERMINATION] is a legal judgment that only the City Attorney can make. Every [BRACKETED] blank is a fact the City has and the public record does not show yet.</w:t>
      </w:r>
    </w:p>
    <w:p>
      <w:pPr>
        <w:pStyle w:val="Heading2"/>
      </w:pPr>
      <w:r>
        <w:t xml:space="preserve">1. The short version</w:t>
      </w:r>
    </w:p>
    <w:p>
      <w:pPr>
        <w:pBdr>
          <w:left w:val="single" w:color="E0A800" w:sz="18" w:space="8"/>
        </w:pBdr>
        <w:shd w:fill="FFF4D6" w:color="auto" w:val="clear"/>
        <w:spacing w:after="200"/>
      </w:pPr>
      <w:r>
        <w:t xml:space="preserve">Amendment 3 will cut Largo's property tax revenue by about $15.7 million a year once it is fully in place (about $10 million from FY 2027-28, the rest from FY 2028-29). About $10.2 million of that is the City's own tax; about $5.9 million is money the City receives from county taxes for EMS, fire and library service. This plan offers three packages. All three keep the Central Park Performing Arts Center open by paying for it, and for parks, recreation and the library, only from money that is not property tax, which is the lowest-risk way to deal with the amendment's new limits on what property tax may pay for. The packages differ in how much of the rest comes from a new fire assessment, a small tax-rate increase, or service cuts. Under the package with the most new charges, a typical Largo homesteader still comes out about $300 a year ahead; rentals and businesses pay more.</w:t>
      </w:r>
    </w:p>
    <w:p>
      <w:pPr>
        <w:pStyle w:val="Heading2"/>
      </w:pPr>
      <w:r>
        <w:t xml:space="preserve">2. What we found</w:t>
      </w:r>
    </w:p>
    <w:p>
      <w:pPr>
        <w:pStyle w:val="Heading3"/>
      </w:pPr>
      <w:r>
        <w:t xml:space="preserve">The loss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tc>
        <w:tc>
          <w:tcPr>
            <w:tcW w:type="dxa" w:w="3120"/>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Amount</w:t>
            </w:r>
          </w:p>
        </w:tc>
        <w:tc>
          <w:tcPr>
            <w:tcW w:type="dxa" w:w="3120"/>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Source</w:t>
            </w:r>
          </w:p>
        </w:tc>
      </w:tr>
      <w:tr>
        <w:trPr>
          <w:tblHeader w:val="off"/>
        </w:trPr>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Total annual loss, full impact</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$15.7M (about 26% of property tax revenue)</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City of Largo, "How Your Property Taxes Fund City Services" (largo.com)</w:t>
            </w:r>
          </w:p>
        </w:tc>
      </w:tr>
      <w:tr>
        <w:trPr>
          <w:tblHeader w:val="off"/>
        </w:trPr>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City General Fund + CRA tax increment</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$10.18M</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w:t>
            </w:r>
          </w:p>
        </w:tc>
      </w:tr>
      <w:tr>
        <w:trPr>
          <w:tblHeader w:val="off"/>
        </w:trPr>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County EMS funding to Largo</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$3.73M</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w:t>
            </w:r>
          </w:p>
        </w:tc>
      </w:tr>
      <w:tr>
        <w:trPr>
          <w:tblHeader w:val="off"/>
        </w:trPr>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County fire and library MSTUs</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$1.79M</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w:t>
            </w:r>
          </w:p>
        </w:tc>
      </w:tr>
      <w:tr>
        <w:trPr>
          <w:tblHeader w:val="off"/>
        </w:trPr>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Pinellas Public Library Cooperative</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$0.39M</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w:t>
            </w:r>
          </w:p>
        </w:tc>
      </w:tr>
      <w:tr>
        <w:trPr>
          <w:tblHeader w:val="off"/>
        </w:trPr>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Timing</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$10M from FY 2027-28; about $5.7M more from FY 2028-29</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w:t>
            </w:r>
          </w:p>
        </w:tc>
      </w:tr>
      <w:tr>
        <w:trPr>
          <w:tblHeader w:val="off"/>
        </w:trPr>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Independent check: City levy only, 2026 final tax roll, 5.49 mills</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$6.0M (first year, $150,000 exemption); $8.8M (full, $250,000)</w:t>
            </w:r>
          </w:p>
        </w:tc>
        <w:tc>
          <w:tcPr>
            <w:tcW w:type="dxa" w:w="312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Florida DOR tax roll file, Pinellas 2026 final; parcels coded "LA"</w:t>
            </w:r>
          </w:p>
        </w:tc>
      </w:tr>
    </w:tbl>
    <w:p/>
    <w:p>
      <w:r>
        <w:t xml:space="preserve">The independent check is 14 to 17 percent below the City's figure, which is normal: it uses this year's values with no growth and leaves out the redevelopment-area (CRA) money. This plan uses the City's figure.</w:t>
      </w:r>
    </w:p>
    <w:p>
      <w:r>
        <w:t xml:space="preserve">What the change does to who pays City property tax (2026 roll, full $250,000 exemption):</w:t>
      </w:r>
    </w:p>
    <w:p>
      <w:pPr>
        <w:pStyle w:val="ListParagraph"/>
        <w:numPr>
          <w:ilvl w:val="0"/>
          <w:numId w:val="2"/>
        </w:numPr>
      </w:pPr>
      <w:r>
        <w:t xml:space="preserve">12,146 of 15,817 homesteads (77%) would pay no City property tax at all.</w:t>
      </w:r>
    </w:p>
    <w:p>
      <w:pPr>
        <w:pStyle w:val="ListParagraph"/>
        <w:numPr>
          <w:ilvl w:val="0"/>
          <w:numId w:val="2"/>
        </w:numPr>
      </w:pPr>
      <w:r>
        <w:t xml:space="preserve">Homes' share of the City's taxable value falls from about 65% to about 57%. Businesses' share rises from about 32% to about 39%.</w:t>
      </w:r>
    </w:p>
    <w:p>
      <w:pPr>
        <w:pStyle w:val="ListParagraph"/>
        <w:numPr>
          <w:ilvl w:val="0"/>
          <w:numId w:val="2"/>
        </w:numPr>
      </w:pPr>
      <w:r>
        <w:t xml:space="preserve">The City would need about 6.81 mills (up from 5.49) to raise the same money from what is still taxable. That is under the 10-mill limit.</w:t>
      </w:r>
    </w:p>
    <w:p>
      <w:pPr>
        <w:pStyle w:val="Heading3"/>
      </w:pPr>
      <w:r>
        <w:t xml:space="preserve">Which programs the new spending limit puts at risk</w:t>
      </w:r>
    </w:p>
    <w:p>
      <w:r>
        <w:t xml:space="preserve">Amendment 3 says City property tax may be used only for: public safety (police, fire, EMS); education; infrastructure such as roads and stormwater; natural resource projects; debt; employee retirement; and "the operations and administration of … municipalities, and the expenditures approved by" the City Commission, "except those expenditures prohibited by general law" (Art. VII, § 9(a)(2), Fla. Const., as amended).</w:t>
      </w:r>
    </w:p>
    <w:p>
      <w:r>
        <w:t xml:space="preserve">Read broadly, that last item could cover almost anything the Commission approves. Because the City Attorney is expected to want the least legal risk, this plan uses the </w:t>
      </w:r>
      <w:r>
        <w:rPr>
          <w:b/>
          <w:bCs/>
        </w:rPr>
        <w:t xml:space="preserve">narrow reading</w:t>
      </w:r>
      <w:r>
        <w:t xml:space="preserve">: assume parks, recreation, arts and possibly the library are not covered. [COUNSEL DETERMINATION]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76"/>
        <w:gridCol w:w="1963"/>
        <w:gridCol w:w="4321"/>
      </w:tblGrid>
      <w:tr>
        <w:trPr>
          <w:tblHeader/>
        </w:trPr>
        <w:tc>
          <w:tcPr>
            <w:tcW w:type="dxa" w:w="3076"/>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Program</w:t>
            </w:r>
          </w:p>
        </w:tc>
        <w:tc>
          <w:tcPr>
            <w:tcW w:type="dxa" w:w="1963"/>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Under the narrow reading</w:t>
            </w:r>
          </w:p>
        </w:tc>
        <w:tc>
          <w:tcPr>
            <w:tcW w:type="dxa" w:w="432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Why</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Police</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Fits</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Law enforcement is named</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 Rescue (fire and EMS)</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Fits</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 service and EMS are named</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Administration, IT, Finance</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Fits</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"Operations and administration" of the city</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Streets, stormwater</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Fits</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Infrastructure is named</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Debt service, pensions</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Fits</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Named</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Library</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Unclear</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Could be "education"; not certain</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Community Planning and Development</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Unclear</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Code enforcement may be public safety; planning may be administration</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Park grounds and natural areas</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Unclear</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Parts may be natural resources or infrastructure</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Recreation centers and programs</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Seems outside</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Not on the list except under the broad reading</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Highland aquatics and tennis, other pools</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Seems outside</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Central Park Performing Arts Center</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Seems outside</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 Calling it "education" because it offers classes would likely not hold up</w:t>
            </w:r>
          </w:p>
        </w:tc>
      </w:tr>
      <w:tr>
        <w:trPr>
          <w:tblHeader w:val="off"/>
        </w:trPr>
        <w:tc>
          <w:tcPr>
            <w:tcW w:type="dxa" w:w="307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Special events</w:t>
            </w:r>
          </w:p>
        </w:tc>
        <w:tc>
          <w:tcPr>
            <w:tcW w:type="dxa" w:w="196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Seems outside</w:t>
            </w:r>
          </w:p>
        </w:tc>
        <w:tc>
          <w:tcPr>
            <w:tcW w:type="dxa" w:w="43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w:t>
            </w:r>
          </w:p>
        </w:tc>
      </w:tr>
    </w:tbl>
    <w:p/>
    <w:p>
      <w:r>
        <w:rPr>
          <w:b/>
          <w:bCs/>
        </w:rPr>
        <w:t xml:space="preserve">The key finding.</w:t>
      </w:r>
      <w:r>
        <w:t xml:space="preserve"> Police (about $38.8M) and Fire Rescue (about $30.8M) together cost more than all the City's property tax (about $44.1M in FY 2025-26; City figures). So every remaining property tax dollar can go to police and fire, and parks, recreation, the library and the Performing Arts Center can be paid for entirely with the City's other money: state revenue sharing, the half-cent sales tax, utility and communications taxes, franchise fees, and program fees. Doing it this way means the City never has to argue that a theater is "education" or a pool is "infrastructure."</w:t>
      </w:r>
    </w:p>
    <w:p>
      <w:r>
        <w:t xml:space="preserve">The lowest-risk way to show this is a separate fund (draft 03) that by rule receives no property tax and pays for all "unclear" and "seems outside" programs. [COUNSEL DETERMINATION] Whether tracking dollars this way satisfies § 9(a)(2). The open fact is whether the City's non-property-tax revenue is large enough to cover those programs: [BRACKETED: FY 2026-27 General Fund revenue other than ad valorem taxes, from the adopted budget] versus [BRACKETED: FY 2026-27 cost of Library + Recreation, Parks &amp; Arts + Community Development]. For scale, parks and recreation cost about $12.75M of General Fund money in FY 2022-23 (Florida League of Cities data packet), and the library about $5.2M (derived from news reports that a $3.2M cut was 62% of its budget). These are on the records request list (draft 14).</w:t>
      </w:r>
    </w:p>
    <w:p>
      <w:pPr>
        <w:pStyle w:val="Heading2"/>
      </w:pPr>
      <w:r>
        <w:t xml:space="preserve">3. Decisions so far</w:t>
      </w:r>
    </w:p>
    <w:p>
      <w:r>
        <w:t xml:space="preserve">See the Decision Log. In short: plan around the narrow reading; the Performing Arts Center is the top priority; draft documents for every tool so the Commission has the full set to choose from. The sorting of programs in the table above still needs the resident's (and ultimately the City Attorney's) confirmation.</w:t>
      </w:r>
    </w:p>
    <w:p>
      <w:pPr>
        <w:pStyle w:val="Heading2"/>
      </w:pPr>
      <w:r>
        <w:t xml:space="preserve">4. Saving the Performing Arts Center</w:t>
      </w:r>
    </w:p>
    <w:p>
      <w:r>
        <w:t xml:space="preserve">The City's draft alternative budget listed selling the Center or handing it to a private operator. These options keep it open and keep property tax out of it entirely. They can be combined.</w:t>
      </w:r>
    </w:p>
    <w:p>
      <w:pPr>
        <w:pStyle w:val="ListParagraph"/>
        <w:numPr>
          <w:ilvl w:val="0"/>
          <w:numId w:val="2"/>
        </w:numPr>
      </w:pPr>
      <w:r>
        <w:rPr>
          <w:b/>
          <w:bCs/>
        </w:rPr>
        <w:t xml:space="preserve">Pay for it another way (in all three packages).</w:t>
      </w:r>
      <w:r>
        <w:t xml:space="preserve"> Move it into the non-property-tax fund (draft 03). Raise its earned revenue under a cost-recovery policy (draft 08): a per-ticket facility fee of [BRACKETED: $ amount from the cost study], updated rental rates for the Tonne Playhouse, Parkview Room and Feed Store, and a non-resident rate. Ask Pinellas County for tourist development tax money: state law lets that tax be used to "maintain, operate, or promote" publicly owned auditoriums, including ones run by tax-exempt organizations (s. 125.0104(5)(a)1., Fla. Stat.; check the current text and any spending-order rules). Grow the Central Park Performing Arts Foundation's role in sponsorships and naming rights.</w:t>
      </w:r>
    </w:p>
    <w:p>
      <w:pPr>
        <w:pStyle w:val="ListParagraph"/>
        <w:numPr>
          <w:ilvl w:val="0"/>
          <w:numId w:val="2"/>
        </w:numPr>
      </w:pPr>
      <w:r>
        <w:rPr>
          <w:b/>
          <w:bCs/>
        </w:rPr>
        <w:t xml:space="preserve">Change who runs it.</w:t>
      </w:r>
      <w:r>
        <w:t xml:space="preserve"> The City keeps ownership; the Foundation or another nonprofit runs it under a management agreement, with a fixed operating payment from the non-property-tax fund. This also qualifies under the tourist development tax language for auditoriums run by tax-exempt organizations.</w:t>
      </w:r>
    </w:p>
    <w:p>
      <w:pPr>
        <w:pStyle w:val="ListParagraph"/>
        <w:numPr>
          <w:ilvl w:val="0"/>
          <w:numId w:val="2"/>
        </w:numPr>
      </w:pPr>
      <w:r>
        <w:rPr>
          <w:b/>
          <w:bCs/>
        </w:rPr>
        <w:t xml:space="preserve">Shrink it.</w:t>
      </w:r>
      <w:r>
        <w:t xml:space="preserve"> Shift from City-presented shows to a mostly rental model with fewer staff.</w:t>
      </w:r>
    </w:p>
    <w:p>
      <w:pPr>
        <w:pStyle w:val="ListParagraph"/>
        <w:numPr>
          <w:ilvl w:val="0"/>
          <w:numId w:val="2"/>
        </w:numPr>
      </w:pPr>
      <w:r>
        <w:rPr>
          <w:b/>
          <w:bCs/>
        </w:rPr>
        <w:t xml:space="preserve">Stop it.</w:t>
      </w:r>
      <w:r>
        <w:t xml:space="preserve"> Sell or close it. Not recommended by the resident, listed for completeness.</w:t>
      </w:r>
    </w:p>
    <w:p>
      <w:r>
        <w:t xml:space="preserve">The money needed is [BRACKETED: the Center's FY 2026-27 operating cost minus its own revenue], which is on the records request list.</w:t>
      </w:r>
    </w:p>
    <w:p>
      <w:pPr>
        <w:pStyle w:val="Heading2"/>
      </w:pPr>
      <w:r>
        <w:t xml:space="preserve">5. The three packages</w:t>
      </w:r>
    </w:p>
    <w:p>
      <w:r>
        <w:t xml:space="preserve">Each package must cover about $10.2M a year of lost City money at full impact. The county pass-through (about $5.9M) is the County's to solve first; every package includes the letter to the County (draft 04). Fire assessment rates below are placeholders to show scale, not proposals. Real rates must come from a study that removes ambulance and medical costs (draft 05).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95"/>
        <w:gridCol w:w="2521"/>
        <w:gridCol w:w="2521"/>
        <w:gridCol w:w="2523"/>
      </w:tblGrid>
      <w:tr>
        <w:trPr>
          <w:tblHeader/>
        </w:trPr>
        <w:tc>
          <w:tcPr>
            <w:tcW w:type="dxa" w:w="1795"/>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tc>
        <w:tc>
          <w:tcPr>
            <w:tcW w:type="dxa" w:w="252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A. Keep every program</w:t>
            </w:r>
          </w:p>
        </w:tc>
        <w:tc>
          <w:tcPr>
            <w:tcW w:type="dxa" w:w="252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B. Middle path</w:t>
            </w:r>
          </w:p>
        </w:tc>
        <w:tc>
          <w:tcPr>
            <w:tcW w:type="dxa" w:w="2523"/>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C. Fewest new charges</w:t>
            </w:r>
          </w:p>
        </w:tc>
      </w:tr>
      <w:tr>
        <w:trPr>
          <w:tblHeader w:val="off"/>
        </w:trPr>
        <w:tc>
          <w:tcPr>
            <w:tcW w:type="dxa" w:w="179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 assessment</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$10.1M a year (about $180 per home; 15¢ per business sq ft)</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$5.0M a year (about $90 per home; 7.5¢ per sq ft)</w:t>
            </w:r>
          </w:p>
        </w:tc>
        <w:tc>
          <w:tcPr>
            <w:tcW w:type="dxa" w:w="252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None</w:t>
            </w:r>
          </w:p>
        </w:tc>
      </w:tr>
      <w:tr>
        <w:trPr>
          <w:tblHeader w:val="off"/>
        </w:trPr>
        <w:tc>
          <w:tcPr>
            <w:tcW w:type="dxa" w:w="179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Tax rate</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 change</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+0.5 mill (about $3.3M a year)</w:t>
            </w:r>
          </w:p>
        </w:tc>
        <w:tc>
          <w:tcPr>
            <w:tcW w:type="dxa" w:w="252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 change</w:t>
            </w:r>
          </w:p>
        </w:tc>
      </w:tr>
      <w:tr>
        <w:trPr>
          <w:tblHeader w:val="off"/>
        </w:trPr>
        <w:tc>
          <w:tcPr>
            <w:tcW w:type="dxa" w:w="179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Fees and cost recovery</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Updated recreation, arts and rental fees [amount from cost study]</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w:t>
            </w:r>
          </w:p>
        </w:tc>
        <w:tc>
          <w:tcPr>
            <w:tcW w:type="dxa" w:w="252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Same, plus higher recovery targets</w:t>
            </w:r>
          </w:p>
        </w:tc>
      </w:tr>
      <w:tr>
        <w:trPr>
          <w:tblHeader w:val="off"/>
        </w:trPr>
        <w:tc>
          <w:tcPr>
            <w:tcW w:type="dxa" w:w="179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Performing Arts Center</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Kept, non-property-tax fund</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Kept, non-property-tax fund</w:t>
            </w:r>
          </w:p>
        </w:tc>
        <w:tc>
          <w:tcPr>
            <w:tcW w:type="dxa" w:w="252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Kept, run by nonprofit operator; scaled back</w:t>
            </w:r>
          </w:p>
        </w:tc>
      </w:tr>
      <w:tr>
        <w:trPr>
          <w:tblHeader w:val="off"/>
        </w:trPr>
        <w:tc>
          <w:tcPr>
            <w:tcW w:type="dxa" w:w="179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Cuts from the City's alternative budget</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None needed if the study supports about $10M</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$2M [the Commission chooses which]</w:t>
            </w:r>
          </w:p>
        </w:tc>
        <w:tc>
          <w:tcPr>
            <w:tcW w:type="dxa" w:w="252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$10M: e.g. library hours, Highland closure, police and fire units</w:t>
            </w:r>
          </w:p>
        </w:tc>
      </w:tr>
      <w:tr>
        <w:trPr>
          <w:tblHeader w:val="off"/>
        </w:trPr>
        <w:tc>
          <w:tcPr>
            <w:tcW w:type="dxa" w:w="179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Share of the $10.2M closed by new charges</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92% before fees (after paying for churches and nonprofits from other funds)</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78% before fees</w:t>
            </w:r>
          </w:p>
        </w:tc>
        <w:tc>
          <w:tcPr>
            <w:tcW w:type="dxa" w:w="252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Fees only</w:t>
            </w:r>
          </w:p>
        </w:tc>
      </w:tr>
      <w:tr>
        <w:trPr>
          <w:tblHeader w:val="off"/>
        </w:trPr>
        <w:tc>
          <w:tcPr>
            <w:tcW w:type="dxa" w:w="179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Main legal risk</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Whether the study supports about $10M of non-EMS fire cost when about 90% of Largo Fire Rescue calls are medical (2022 annual report)</w:t>
            </w:r>
          </w:p>
        </w:tc>
        <w:tc>
          <w:tcPr>
            <w:tcW w:type="dxa" w:w="25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Smaller assessment is easier to support; tax-rate vote rules under SB 4-F</w:t>
            </w:r>
          </w:p>
        </w:tc>
        <w:tc>
          <w:tcPr>
            <w:tcW w:type="dxa" w:w="252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Lowest legal risk; highest service loss</w:t>
            </w:r>
          </w:p>
        </w:tc>
      </w:tr>
    </w:tbl>
    <w:p/>
    <w:p>
      <w:pPr>
        <w:pStyle w:val="Heading3"/>
      </w:pPr>
      <w:r>
        <w:t xml:space="preserve">What typical properties would pay (City charges only, per year)</w:t>
      </w:r>
    </w:p>
    <w:p>
      <w:r>
        <w:t xml:space="preserve">"Saves" is the City property tax saved under Amendment 3 at full impact. "Pays" is the new charge. Negative means the owner comes out ahead. Medians from the 2026 tax roll.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21"/>
        <w:gridCol w:w="832"/>
        <w:gridCol w:w="1525"/>
        <w:gridCol w:w="2080"/>
        <w:gridCol w:w="902"/>
      </w:tblGrid>
      <w:tr>
        <w:trPr>
          <w:tblHeader/>
        </w:trPr>
        <w:tc>
          <w:tcPr>
            <w:tcW w:type="dxa" w:w="402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Typical property</w:t>
            </w:r>
          </w:p>
        </w:tc>
        <w:tc>
          <w:tcPr>
            <w:tcW w:type="dxa" w:w="832"/>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Saves</w:t>
            </w:r>
          </w:p>
        </w:tc>
        <w:tc>
          <w:tcPr>
            <w:tcW w:type="dxa" w:w="1525"/>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A: pays / net</w:t>
            </w:r>
          </w:p>
        </w:tc>
        <w:tc>
          <w:tcPr>
            <w:tcW w:type="dxa" w:w="2080"/>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B: pays / net</w:t>
            </w:r>
          </w:p>
        </w:tc>
        <w:tc>
          <w:tcPr>
            <w:tcW w:type="dxa" w:w="902"/>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C: net</w:t>
            </w:r>
          </w:p>
        </w:tc>
      </w:tr>
      <w:tr>
        <w:trPr>
          <w:tblHeader w:val="off"/>
        </w:trPr>
        <w:tc>
          <w:tcPr>
            <w:tcW w:type="dxa" w:w="40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Homestead house assessed under $250k ($138,682)</w:t>
            </w:r>
          </w:p>
        </w:tc>
        <w:tc>
          <w:tcPr>
            <w:tcW w:type="dxa" w:w="8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$479</w:t>
            </w:r>
          </w:p>
        </w:tc>
        <w:tc>
          <w:tcPr>
            <w:tcW w:type="dxa" w:w="152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$180 / −$299</w:t>
            </w:r>
          </w:p>
        </w:tc>
        <w:tc>
          <w:tcPr>
            <w:tcW w:type="dxa" w:w="208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$90 / −$389</w:t>
            </w:r>
          </w:p>
        </w:tc>
        <w:tc>
          <w:tcPr>
            <w:tcW w:type="dxa" w:w="90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−$479</w:t>
            </w:r>
          </w:p>
        </w:tc>
      </w:tr>
      <w:tr>
        <w:trPr>
          <w:tblHeader w:val="off"/>
        </w:trPr>
        <w:tc>
          <w:tcPr>
            <w:tcW w:type="dxa" w:w="40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Homestead house assessed over $250k ($323,073)</w:t>
            </w:r>
          </w:p>
        </w:tc>
        <w:tc>
          <w:tcPr>
            <w:tcW w:type="dxa" w:w="8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$1,090</w:t>
            </w:r>
          </w:p>
        </w:tc>
        <w:tc>
          <w:tcPr>
            <w:tcW w:type="dxa" w:w="152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$180 / −$910</w:t>
            </w:r>
          </w:p>
        </w:tc>
        <w:tc>
          <w:tcPr>
            <w:tcW w:type="dxa" w:w="208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$127 / about −$963</w:t>
            </w:r>
          </w:p>
        </w:tc>
        <w:tc>
          <w:tcPr>
            <w:tcW w:type="dxa" w:w="90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−$1,090</w:t>
            </w:r>
          </w:p>
        </w:tc>
      </w:tr>
      <w:tr>
        <w:trPr>
          <w:tblHeader w:val="off"/>
        </w:trPr>
        <w:tc>
          <w:tcPr>
            <w:tcW w:type="dxa" w:w="40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Homestead condo ($97,733)</w:t>
            </w:r>
          </w:p>
        </w:tc>
        <w:tc>
          <w:tcPr>
            <w:tcW w:type="dxa" w:w="8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$254</w:t>
            </w:r>
          </w:p>
        </w:tc>
        <w:tc>
          <w:tcPr>
            <w:tcW w:type="dxa" w:w="152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$180 / −$74</w:t>
            </w:r>
          </w:p>
        </w:tc>
        <w:tc>
          <w:tcPr>
            <w:tcW w:type="dxa" w:w="208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$90 / −$164</w:t>
            </w:r>
          </w:p>
        </w:tc>
        <w:tc>
          <w:tcPr>
            <w:tcW w:type="dxa" w:w="90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−$254</w:t>
            </w:r>
          </w:p>
        </w:tc>
      </w:tr>
      <w:tr>
        <w:trPr>
          <w:tblHeader w:val="off"/>
        </w:trPr>
        <w:tc>
          <w:tcPr>
            <w:tcW w:type="dxa" w:w="40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Rental or second home ($265,558)</w:t>
            </w:r>
          </w:p>
        </w:tc>
        <w:tc>
          <w:tcPr>
            <w:tcW w:type="dxa" w:w="8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c>
          <w:tcPr>
            <w:tcW w:type="dxa" w:w="152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$180 / +$180</w:t>
            </w:r>
          </w:p>
        </w:tc>
        <w:tc>
          <w:tcPr>
            <w:tcW w:type="dxa" w:w="208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$223 / +$223</w:t>
            </w:r>
          </w:p>
        </w:tc>
        <w:tc>
          <w:tcPr>
            <w:tcW w:type="dxa" w:w="90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r>
      <w:tr>
        <w:trPr>
          <w:tblHeader w:val="off"/>
        </w:trPr>
        <w:tc>
          <w:tcPr>
            <w:tcW w:type="dxa" w:w="40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Small shop, 3,888 sq ft ($356,950)</w:t>
            </w:r>
          </w:p>
        </w:tc>
        <w:tc>
          <w:tcPr>
            <w:tcW w:type="dxa" w:w="8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c>
          <w:tcPr>
            <w:tcW w:type="dxa" w:w="152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$583 / +$583</w:t>
            </w:r>
          </w:p>
        </w:tc>
        <w:tc>
          <w:tcPr>
            <w:tcW w:type="dxa" w:w="208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$470 / +$470</w:t>
            </w:r>
          </w:p>
        </w:tc>
        <w:tc>
          <w:tcPr>
            <w:tcW w:type="dxa" w:w="90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r>
      <w:tr>
        <w:trPr>
          <w:tblHeader w:val="off"/>
        </w:trPr>
        <w:tc>
          <w:tcPr>
            <w:tcW w:type="dxa" w:w="40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Warehouse, 20,687 sq ft ($1.09M)</w:t>
            </w:r>
          </w:p>
        </w:tc>
        <w:tc>
          <w:tcPr>
            <w:tcW w:type="dxa" w:w="8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c>
          <w:tcPr>
            <w:tcW w:type="dxa" w:w="152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$3,103 / +$3,103</w:t>
            </w:r>
          </w:p>
        </w:tc>
        <w:tc>
          <w:tcPr>
            <w:tcW w:type="dxa" w:w="208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$2,095 / +$2,095</w:t>
            </w:r>
          </w:p>
        </w:tc>
        <w:tc>
          <w:tcPr>
            <w:tcW w:type="dxa" w:w="90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r>
      <w:tr>
        <w:trPr>
          <w:tblHeader w:val="off"/>
        </w:trPr>
        <w:tc>
          <w:tcPr>
            <w:tcW w:type="dxa" w:w="40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Large commercial, 56,200 sq ft ($5.07M)</w:t>
            </w:r>
          </w:p>
        </w:tc>
        <w:tc>
          <w:tcPr>
            <w:tcW w:type="dxa" w:w="8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c>
          <w:tcPr>
            <w:tcW w:type="dxa" w:w="152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$8,430 / +$8,430</w:t>
            </w:r>
          </w:p>
        </w:tc>
        <w:tc>
          <w:tcPr>
            <w:tcW w:type="dxa" w:w="208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about $6,748 / +$6,748</w:t>
            </w:r>
          </w:p>
        </w:tc>
        <w:tc>
          <w:tcPr>
            <w:tcW w:type="dxa" w:w="90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r>
      <w:tr>
        <w:trPr>
          <w:tblHeader w:val="off"/>
        </w:trPr>
        <w:tc>
          <w:tcPr>
            <w:tcW w:type="dxa" w:w="40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Church (in this illustration, paid from other funds)</w:t>
            </w:r>
          </w:p>
        </w:tc>
        <w:tc>
          <w:tcPr>
            <w:tcW w:type="dxa" w:w="83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c>
          <w:tcPr>
            <w:tcW w:type="dxa" w:w="152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c>
          <w:tcPr>
            <w:tcW w:type="dxa" w:w="208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c>
          <w:tcPr>
            <w:tcW w:type="dxa" w:w="90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w:t>
            </w:r>
          </w:p>
        </w:tc>
      </w:tr>
    </w:tbl>
    <w:p/>
    <w:p>
      <w:r>
        <w:t xml:space="preserve">Package B's tax-rate figures assume taxable value equals assessed value for non-homesteads, which is approximately true. Fees are not included because they depend on who uses which services. Under Package A, about 12,000 of 26,800 improved homes come out ahead and about 14,800 (mostly rentals, second homes and low-value homesteads already paying little) pay more. Owners also save county taxes under Amendment 3, which are not counted here.</w:t>
      </w:r>
    </w:p>
    <w:p>
      <w:pPr>
        <w:pStyle w:val="Heading2"/>
      </w:pPr>
      <w:r>
        <w:t xml:space="preserve">6. Who pays more and who pays less</w:t>
      </w:r>
    </w:p>
    <w:p>
      <w:pPr>
        <w:pStyle w:val="ListParagraph"/>
        <w:numPr>
          <w:ilvl w:val="0"/>
          <w:numId w:val="2"/>
        </w:numPr>
      </w:pPr>
      <w:r>
        <w:rPr>
          <w:b/>
          <w:bCs/>
        </w:rPr>
        <w:t xml:space="preserve">Homesteaders</w:t>
      </w:r>
      <w:r>
        <w:t xml:space="preserve"> gain the most from Amendment 3 and keep most of that gain in every package. A fire assessment takes back a flat amount, which is a larger share of the savings for low-value homes and condos.</w:t>
      </w:r>
    </w:p>
    <w:p>
      <w:pPr>
        <w:pStyle w:val="ListParagraph"/>
        <w:numPr>
          <w:ilvl w:val="0"/>
          <w:numId w:val="2"/>
        </w:numPr>
      </w:pPr>
      <w:r>
        <w:rPr>
          <w:b/>
          <w:bCs/>
        </w:rPr>
        <w:t xml:space="preserve">Renters</w:t>
      </w:r>
      <w:r>
        <w:t xml:space="preserve"> do not get the exemption. Landlords' new charges may be passed on in rent.</w:t>
      </w:r>
    </w:p>
    <w:p>
      <w:pPr>
        <w:pStyle w:val="ListParagraph"/>
        <w:numPr>
          <w:ilvl w:val="0"/>
          <w:numId w:val="2"/>
        </w:numPr>
      </w:pPr>
      <w:r>
        <w:rPr>
          <w:b/>
          <w:bCs/>
        </w:rPr>
        <w:t xml:space="preserve">Businesses</w:t>
      </w:r>
      <w:r>
        <w:t xml:space="preserve"> get no exemption and would carry the fire assessment by building size and any tax-rate increase. Draft business impact estimates (07, 09) are included.</w:t>
      </w:r>
    </w:p>
    <w:p>
      <w:pPr>
        <w:pStyle w:val="ListParagraph"/>
        <w:numPr>
          <w:ilvl w:val="0"/>
          <w:numId w:val="2"/>
        </w:numPr>
      </w:pPr>
      <w:r>
        <w:rPr>
          <w:b/>
          <w:bCs/>
        </w:rPr>
        <w:t xml:space="preserve">Churches, nonprofits and government buildings</w:t>
      </w:r>
      <w:r>
        <w:t xml:space="preserve"> pay no property tax today. A fire assessment can reach them. These drafts pay their share from other City money instead (about $0.7M a year in Package A). [COUNSEL DETERMINATION] Whether to do this, and how school and state property is treated.</w:t>
      </w:r>
    </w:p>
    <w:p>
      <w:pPr>
        <w:pStyle w:val="Heading2"/>
      </w:pPr>
      <w:r>
        <w:t xml:space="preserve">7. The calendar</w:t>
      </w:r>
    </w:p>
    <w:p>
      <w:r>
        <w:t xml:space="preserve">The deadline that matters most is close.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tblHeader/>
        </w:trPr>
        <w:tc>
          <w:tcPr>
            <w:tcW w:type="dxa" w:w="2340"/>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When</w:t>
            </w:r>
          </w:p>
        </w:tc>
        <w:tc>
          <w:tcPr>
            <w:tcW w:type="dxa" w:w="3510"/>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Step</w:t>
            </w:r>
          </w:p>
        </w:tc>
        <w:tc>
          <w:tcPr>
            <w:tcW w:type="dxa" w:w="3510"/>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Why</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Now (by about Nov. 18, 2026)</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First of four weekly newspaper notices for the resolution of intent (draft 02)</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Needed for a hearing before Jan. 1 (s. 197.3632(3)(a))</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Now</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City asks the Property Appraiser and Tax Collector to agree to a March 1 deadline</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Backup if December is too soon</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Now</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Letter to Pinellas County (draft 04)</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County EMS, fire and library money; tourist development tax for the Center</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[Mid-December 2026 Commission meeting]</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Adopt the resolution of intent (draft 01)</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Keeps the fire assessment possible on the Nov. 2027 bill. Does not commit the City</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By Jan. 10, 2027 (or Mar. 10)</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Mail the resolution to the Property Appraiser, Tax Collector and Department of Revenue</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Statute</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Winter-spring 2027</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 assessment study (draft 05); cost-of-service study for fees (draft 08)</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The record a court will look at</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Spring 2027</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Master assessment ordinance, two readings with 10 days' notice and business impact estimate (drafts 06, 07)</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 166.041</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Spring-summer 2027</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Fee ordinance (drafts 08, 09); non-property-tax fund resolution (draft 03)</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Effective Oct. 1, 2027</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June-July 2027</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Initial assessment resolution (draft 10); mail notices at least 20 days before the hearing (draft 11)</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 197.3632(4)(b)</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By Sept. 15, 2027</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Final assessment resolution and certification to the Tax Collector (draft 12)</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 197.3632(5)</w:t>
            </w:r>
          </w:p>
        </w:tc>
      </w:tr>
      <w:tr>
        <w:trPr>
          <w:tblHeader w:val="off"/>
        </w:trPr>
        <w:tc>
          <w:tcPr>
            <w:tcW w:type="dxa" w:w="234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Nov. 2027</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 assessment on the tax bill (FY 2027-28)</w:t>
            </w:r>
          </w:p>
        </w:tc>
        <w:tc>
          <w:tcPr>
            <w:tcW w:type="dxa" w:w="351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First year of the $150,000 exemption</w:t>
            </w:r>
          </w:p>
        </w:tc>
      </w:tr>
    </w:tbl>
    <w:p/>
    <w:p>
      <w:pPr>
        <w:pStyle w:val="Heading2"/>
      </w:pPr>
      <w:r>
        <w:t xml:space="preserve">8. The documents and what is still open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11"/>
        <w:gridCol w:w="8349"/>
      </w:tblGrid>
      <w:tr>
        <w:trPr>
          <w:tblHeader/>
        </w:trPr>
        <w:tc>
          <w:tcPr>
            <w:tcW w:type="dxa" w:w="101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w:t>
            </w:r>
          </w:p>
        </w:tc>
        <w:tc>
          <w:tcPr>
            <w:tcW w:type="dxa" w:w="8349"/>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Document</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00</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This plan memo; Decision log</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01</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Resolution of intent to use the uniform method (fire assessment)</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02</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Published notice of intent (4 weeks)</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03</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Resolution creating the Recreation, Library and Cultural Arts Fund (no property tax)</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04</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Letter to Pinellas County, with interlocal terms</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05</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Fire assessment methodology report outline</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06</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Master fire assessment ordinance</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07</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Business impact estimate, fire assessment ordinance</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08</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Recreation, cultural arts and facility fee ordinance, with cost-of-service study outline</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09</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Business impact estimate, fee ordinance</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10</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Initial assessment resolution</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11</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Mailed and published roll-hearing notices</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12</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Final assessment resolution</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13</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Agenda memo and public FAQ</w:t>
            </w:r>
          </w:p>
        </w:tc>
      </w:tr>
      <w:tr>
        <w:trPr>
          <w:tblHeader w:val="off"/>
        </w:trPr>
        <w:tc>
          <w:tcPr>
            <w:tcW w:type="dxa" w:w="1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14</w:t>
            </w:r>
          </w:p>
        </w:tc>
        <w:tc>
          <w:tcPr>
            <w:tcW w:type="dxa" w:w="83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Public records requests for the missing numbers</w:t>
            </w:r>
          </w:p>
        </w:tc>
      </w:tr>
    </w:tbl>
    <w:p/>
    <w:p>
      <w:r>
        <w:rPr>
          <w:b/>
          <w:bCs/>
        </w:rPr>
        <w:t xml:space="preserve">Open [COUNSEL DETERMINATION] items:</w:t>
      </w:r>
      <w:r>
        <w:t xml:space="preserve"> how broadly to read § 9(a)(2)g; whether a no-property-tax fund satisfies the use limit; whether the fire assessment meets the special-benefit and fair-apportionment tests on the study's record; how ambulance and medical costs are separated; how churches, nonprofits, schools and state land are treated; the challenge deadline in the ordinance; whether the business impact estimates are required; what the library cooperative agreement and state library aid rules allow for library fees; tourist development tax eligibility; vote and notice rules for a tax-rate increase under SB 4-F; public records and Sunshine Law handling of this plan.</w:t>
      </w:r>
    </w:p>
    <w:p>
      <w:r>
        <w:rPr>
          <w:b/>
          <w:bCs/>
        </w:rPr>
        <w:t xml:space="preserve">Open [BRACKETED] facts:</w:t>
      </w:r>
      <w:r>
        <w:t xml:space="preserve"> listed in draft 14.</w:t>
      </w:r>
    </w:p>
    <w:p>
      <w:r>
        <w:rPr>
          <w:b/>
          <w:bCs/>
        </w:rPr>
        <w:t xml:space="preserve">Law checked:</w:t>
      </w:r>
      <w:r>
        <w:t xml:space="preserve"> the statutes and cases these drafts rely on were checked against public sources on November 4, 2026. Newer amendments or court decisions should be checked before anything is adopted.</w:t>
      </w:r>
    </w:p>
    <w:p>
      <w:r>
        <w:rPr>
          <w:b/>
          <w:bCs/>
        </w:rPr>
        <w:t xml:space="preserve">A note on sharing this plan.</w:t>
      </w:r>
      <w:r>
        <w:t xml:space="preserve"> It is fine for a resident to send this to each Commissioner and to the City Manager and City Attorney, or to present it during public comment. Commissioners should not discuss it with each other outside a noticed meeting (s. 286.011, Fla. Stat.).</w:t>
      </w:r>
    </w:p>
    <w:p>
      <w:pPr>
        <w:pStyle w:val="Heading2"/>
      </w:pPr>
      <w:r>
        <w:t xml:space="preserve">Sources</w:t>
      </w:r>
    </w:p>
    <w:p>
      <w:pPr>
        <w:pStyle w:val="ListParagraph"/>
        <w:numPr>
          <w:ilvl w:val="0"/>
          <w:numId w:val="2"/>
        </w:numPr>
      </w:pPr>
      <w:r>
        <w:t xml:space="preserve">City of Largo, How Your Property Taxes Fund City Services, largo.com/financial_center/property_tax.php</w:t>
      </w:r>
    </w:p>
    <w:p>
      <w:pPr>
        <w:pStyle w:val="ListParagraph"/>
        <w:numPr>
          <w:ilvl w:val="0"/>
          <w:numId w:val="2"/>
        </w:numPr>
      </w:pPr>
      <w:r>
        <w:t xml:space="preserve">Tampa Bay Beacons, "Largo approves $325M budget, lowers property tax rate," Oct. 1, 2026</w:t>
      </w:r>
    </w:p>
    <w:p>
      <w:pPr>
        <w:pStyle w:val="ListParagraph"/>
        <w:numPr>
          <w:ilvl w:val="0"/>
          <w:numId w:val="2"/>
        </w:numPr>
      </w:pPr>
      <w:r>
        <w:t xml:space="preserve">WUSF, "Alternative Largo city budget anticipates cuts if Amendment 3 passes," Oct. 7, 2026</w:t>
      </w:r>
    </w:p>
    <w:p>
      <w:pPr>
        <w:pStyle w:val="ListParagraph"/>
        <w:numPr>
          <w:ilvl w:val="0"/>
          <w:numId w:val="2"/>
        </w:numPr>
      </w:pPr>
      <w:r>
        <w:t xml:space="preserve">Bay News 9, "Largo draft budget outlines cuts to fire, library and parks," Oct. 22, 2026</w:t>
      </w:r>
    </w:p>
    <w:p>
      <w:pPr>
        <w:pStyle w:val="ListParagraph"/>
        <w:numPr>
          <w:ilvl w:val="0"/>
          <w:numId w:val="2"/>
        </w:numPr>
      </w:pPr>
      <w:r>
        <w:t xml:space="preserve">FOX 13, "How proposed property tax changes could impact Largo," Sept. 9, 2026</w:t>
      </w:r>
    </w:p>
    <w:p>
      <w:pPr>
        <w:pStyle w:val="ListParagraph"/>
        <w:numPr>
          <w:ilvl w:val="0"/>
          <w:numId w:val="2"/>
        </w:numPr>
      </w:pPr>
      <w:r>
        <w:t xml:space="preserve">Florida League of Cities, Largo data packet</w:t>
      </w:r>
    </w:p>
    <w:p>
      <w:pPr>
        <w:pStyle w:val="ListParagraph"/>
        <w:numPr>
          <w:ilvl w:val="0"/>
          <w:numId w:val="2"/>
        </w:numPr>
      </w:pPr>
      <w:r>
        <w:t xml:space="preserve">Largo Fire Rescue, 2022 Annual Report</w:t>
      </w:r>
    </w:p>
    <w:p>
      <w:pPr>
        <w:pStyle w:val="ListParagraph"/>
        <w:numPr>
          <w:ilvl w:val="0"/>
          <w:numId w:val="2"/>
        </w:numPr>
      </w:pPr>
      <w:r>
        <w:t xml:space="preserve">LargoArts.com, About CPPAC</w:t>
      </w:r>
    </w:p>
    <w:p>
      <w:pPr>
        <w:pStyle w:val="ListParagraph"/>
        <w:numPr>
          <w:ilvl w:val="0"/>
          <w:numId w:val="2"/>
        </w:numPr>
      </w:pPr>
      <w:r>
        <w:t xml:space="preserve">Florida Department of Revenue, Pinellas 62 Final NAL 2026 tax roll file</w:t>
      </w:r>
    </w:p>
    <w:p>
      <w:pPr>
        <w:pStyle w:val="ListParagraph"/>
        <w:numPr>
          <w:ilvl w:val="0"/>
          <w:numId w:val="2"/>
        </w:numPr>
      </w:pPr>
      <w:r>
        <w:t xml:space="preserve">CS/HJR 1-F (2026), enrolled; s. 197.3632, s. 166.041, s. 125.0104, Fla. Stat.</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00 Plan Memo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2026-11-04T20:15:33.409Z</dcterms:created>
  <dcterms:modified xsi:type="dcterms:W3CDTF">2026-11-04T20:15:33.409Z</dcterms:modified>
</cp:coreProperties>
</file>

<file path=docProps/custom.xml><?xml version="1.0" encoding="utf-8"?>
<Properties xmlns="http://schemas.openxmlformats.org/officeDocument/2006/custom-properties" xmlns:vt="http://schemas.openxmlformats.org/officeDocument/2006/docPropsVTypes"/>
</file>