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Letter to Pinellas County about shared-service revenue</w:t>
      </w:r>
    </w:p>
    <w:p>
      <w:pPr>
        <w:pBdr>
          <w:left w:val="single" w:color="E0A800" w:sz="18" w:space="8"/>
        </w:pBdr>
        <w:shd w:fill="FFF4D6" w:color="auto" w:val="clear"/>
        <w:spacing w:after="200"/>
      </w:pPr>
      <w:r>
        <w:rPr>
          <w:b/>
          <w:bCs/>
        </w:rPr>
        <w:t xml:space="preserve">Plain-language summary.</w:t>
      </w:r>
      <w:r>
        <w:t xml:space="preserve"> About $5.9 million of Largo's expected loss is money Largo receives from county taxes: EMS (about $3.7M), county fire and library taxes (about $1.8M), and the library cooperative (about $0.4M). This letter asks the County how it will handle that, and asks whether tourist development tax money can help run the Performing Arts Center. It would be sent by the City Manager or Mayor, after City Attorney review.</w:t>
      </w:r>
    </w:p>
    <w:p>
      <w:r>
        <w:t xml:space="preserve">[CITY OF LARGO LETTERHEAD]</w:t>
      </w:r>
    </w:p>
    <w:p>
      <w:r>
        <w:t xml:space="preserve">[Date]</w:t>
      </w:r>
    </w:p>
    <w:p>
      <w:r>
        <w:t xml:space="preserve">[County Administrator], Pinellas County</w:t>
      </w:r>
    </w:p>
    <w:p>
      <w:r>
        <w:t xml:space="preserve">[Address]</w:t>
      </w:r>
    </w:p>
    <w:p>
      <w:r>
        <w:t xml:space="preserve">Re: Amendment 3 and funding for EMS, fire, library and cultural services provided to Largo residents</w:t>
      </w:r>
    </w:p>
    <w:p>
      <w:r>
        <w:t xml:space="preserve">Dear [Name]:</w:t>
      </w:r>
    </w:p>
    <w:p>
      <w:r>
        <w:t xml:space="preserve">Amendment 3, approved on November 3, 2026, raises the non-school homestead exemption to $150,000 in 2027 and $250,000 in 2028. The City estimates that, at full implementation, revenue it receives from County-administered sources for services to Largo residents will fall by about $5.9 million a year: about $3.73 million in County EMS funding, about $1.79 million from the County fire and library MSTUs, and about $391,000 in Pinellas Public Library Cooperative reimbursement [SOURCE: City of Largo, "How Your Property Taxes Fund City Services"; staff to confirm].</w:t>
      </w:r>
    </w:p>
    <w:p>
      <w:r>
        <w:t xml:space="preserve">Largo Fire Rescue provides advanced life support and fire service under [EMS agreement name and date] and [unincorporated fire district agreement name and date]. Largo Public Library participates in the Pinellas Public Library Cooperative under [agreement]. The City would like to plan with the County rather than on assumptions about each other. We ask to discuss:</w:t>
      </w:r>
    </w:p>
    <w:p>
      <w:r>
        <w:t xml:space="preserve">1. The County's estimate of the reduction in the EMS, fire district and library levies, and its plans for the affected services.</w:t>
      </w:r>
    </w:p>
    <w:p>
      <w:r>
        <w:t xml:space="preserve">2. Whether the County intends to maintain its EMS funding to Largo for the advanced life support units, and on what timeline.</w:t>
      </w:r>
    </w:p>
    <w:p>
      <w:r>
        <w:t xml:space="preserve">3. For the unincorporated fire district Largo serves: whether the County will consider a fire assessment (MSBU) in that area to replace lost MSTU revenue. A new assessment on the November 2027 bill would need a resolution of intent by January 1, 2027 (or March 1 by agreement with the Property Appraiser and Tax Collector).</w:t>
      </w:r>
    </w:p>
    <w:p>
      <w:r>
        <w:t xml:space="preserve">4. Library Cooperative reimbursement for FY 2027-28 and FY 2028-29.</w:t>
      </w:r>
    </w:p>
    <w:p>
      <w:r>
        <w:t xml:space="preserve">5. </w:t>
      </w:r>
      <w:r>
        <w:rPr>
          <w:b/>
          <w:bCs/>
        </w:rPr>
        <w:t xml:space="preserve">Tourist development tax support for the Central Park Performing Arts Center.</w:t>
      </w:r>
      <w:r>
        <w:t xml:space="preserve"> Section 125.0104(5)(a)1., Florida Statutes, allows tourist development tax revenue to be used to "maintain, operate, or promote" publicly owned auditoriums, including those operated by tax-exempt organizations, subject to the statute's other conditions. We ask how the City can apply for operating or capital support for the Center, and the timeline. [COUNSEL DETERMINATION: eligibility under the current statute and the County's tourist development plan.]</w:t>
      </w:r>
    </w:p>
    <w:p>
      <w:r>
        <w:t xml:space="preserve">We would welcome a staff meeting by [date]. [Contact name, title, phone, email.]</w:t>
      </w:r>
    </w:p>
    <w:p>
      <w:r>
        <w:t xml:space="preserve">Sincerely,</w:t>
      </w:r>
    </w:p>
    <w:p>
      <w:r>
        <w:t xml:space="preserve">[Name, title]</w:t>
      </w:r>
    </w:p>
    <w:p>
      <w:r>
        <w:t xml:space="preserve">[COUNSEL DETERMINATION] Tone and content, and whether any statement could affect the City's position under existing agreements. Have the City Attorney review before sending.</w:t>
      </w:r>
    </w:p>
    <w:p>
      <w:pPr>
        <w:pBdr>
          <w:bottom w:val="single" w:color="999999" w:sz="6" w:space="1"/>
        </w:pBdr>
      </w:pPr>
    </w:p>
    <w:p>
      <w:pPr>
        <w:pStyle w:val="Heading2"/>
      </w:pPr>
      <w:r>
        <w:t xml:space="preserve">Terms to raise when the interlocal agreements are renegotiated</w:t>
      </w:r>
    </w:p>
    <w:p>
      <w:pPr>
        <w:pStyle w:val="ListParagraph"/>
        <w:numPr>
          <w:ilvl w:val="0"/>
          <w:numId w:val="2"/>
        </w:numPr>
      </w:pPr>
      <w:r>
        <w:rPr>
          <w:b/>
          <w:bCs/>
        </w:rPr>
        <w:t xml:space="preserve">Funding formula.</w:t>
      </w:r>
      <w:r>
        <w:t xml:space="preserve"> How the cost of EMS, fire and library service is shared after taxable values change (by calls, units, population, or taxable value).</w:t>
      </w:r>
    </w:p>
    <w:p>
      <w:pPr>
        <w:pStyle w:val="ListParagraph"/>
        <w:numPr>
          <w:ilvl w:val="0"/>
          <w:numId w:val="2"/>
        </w:numPr>
      </w:pPr>
      <w:r>
        <w:rPr>
          <w:b/>
          <w:bCs/>
        </w:rPr>
        <w:t xml:space="preserve">Service levels.</w:t>
      </w:r>
      <w:r>
        <w:t xml:space="preserve"> Response-time and staffing commitments for the advanced life support units, and what happens if funding falls.</w:t>
      </w:r>
    </w:p>
    <w:p>
      <w:pPr>
        <w:pStyle w:val="ListParagraph"/>
        <w:numPr>
          <w:ilvl w:val="0"/>
          <w:numId w:val="2"/>
        </w:numPr>
      </w:pPr>
      <w:r>
        <w:rPr>
          <w:b/>
          <w:bCs/>
        </w:rPr>
        <w:t xml:space="preserve">Who levies what.</w:t>
      </w:r>
      <w:r>
        <w:t xml:space="preserve"> Whether the County will impose a fire MSBU assessment in the unincorporated area Largo serves, with a credit against the County's payment to the City.</w:t>
      </w:r>
    </w:p>
    <w:p>
      <w:pPr>
        <w:pStyle w:val="ListParagraph"/>
        <w:numPr>
          <w:ilvl w:val="0"/>
          <w:numId w:val="2"/>
        </w:numPr>
      </w:pPr>
      <w:r>
        <w:rPr>
          <w:b/>
          <w:bCs/>
        </w:rPr>
        <w:t xml:space="preserve">Transport and medical billing.</w:t>
      </w:r>
      <w:r>
        <w:t xml:space="preserve"> Who bills, at what rates, and who keeps the revenue.</w:t>
      </w:r>
    </w:p>
    <w:p>
      <w:pPr>
        <w:pStyle w:val="ListParagraph"/>
        <w:numPr>
          <w:ilvl w:val="0"/>
          <w:numId w:val="2"/>
        </w:numPr>
      </w:pPr>
      <w:r>
        <w:rPr>
          <w:b/>
          <w:bCs/>
        </w:rPr>
        <w:t xml:space="preserve">Reopener.</w:t>
      </w:r>
      <w:r>
        <w:t xml:space="preserve"> Renegotiation if the Legislature passes laws implementing Amendment 3 (Art. VII, § 6(a)(4) or § 9(a)(2)g).</w:t>
      </w:r>
    </w:p>
    <w:p>
      <w:pPr>
        <w:pStyle w:val="ListParagraph"/>
        <w:numPr>
          <w:ilvl w:val="0"/>
          <w:numId w:val="2"/>
        </w:numPr>
      </w:pPr>
      <w:r>
        <w:rPr>
          <w:b/>
          <w:bCs/>
        </w:rPr>
        <w:t xml:space="preserve">Data sharing.</w:t>
      </w:r>
      <w:r>
        <w:t xml:space="preserve"> Incident and cost data, so both governments can support any assessment on the record.</w:t>
      </w:r>
    </w:p>
    <w:p>
      <w:pPr>
        <w:pStyle w:val="ListParagraph"/>
        <w:numPr>
          <w:ilvl w:val="0"/>
          <w:numId w:val="2"/>
        </w:numPr>
      </w:pPr>
      <w:r>
        <w:rPr>
          <w:b/>
          <w:bCs/>
        </w:rPr>
        <w:t xml:space="preserve">Term and exit.</w:t>
      </w:r>
      <w:r>
        <w:t xml:space="preserve"> Notice period and transition if either side withdraws.</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04 Letter to Pinellas County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2026-11-04T20:15:33.522Z</dcterms:created>
  <dcterms:modified xsi:type="dcterms:W3CDTF">2026-11-04T20:15:33.522Z</dcterms:modified>
</cp:coreProperties>
</file>

<file path=docProps/custom.xml><?xml version="1.0" encoding="utf-8"?>
<Properties xmlns="http://schemas.openxmlformats.org/officeDocument/2006/custom-properties" xmlns:vt="http://schemas.openxmlformats.org/officeDocument/2006/docPropsVTypes"/>
</file>