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highlight w:val="yellow"/>
        </w:rPr>
        <w:t>INDEPENDENT DEMONSTRATION. Drafted by an AI skill in a simulated conversation, using only public records, to show how the Florida Amendment 3 revenue skill works (amendment3.macrify.me). Not prepared by, for, or with the City of Largo, and not reviewed or endorsed by it. Not legal advice. The "resident" in these drafts is the role played in the demonstration.</w:t>
      </w:r>
    </w:p>
    <w:p>
      <w:pPr>
        <w:pStyle w:val="Heading1"/>
      </w:pPr>
      <w:r>
        <w:t xml:space="preserve">Largo Fire Rescue Assessment Methodology Report: Outline</w:t>
      </w:r>
    </w:p>
    <w:p>
      <w:pPr>
        <w:pBdr>
          <w:left w:val="single" w:color="E0A800" w:sz="18" w:space="8"/>
        </w:pBdr>
        <w:shd w:fill="FFF4D6" w:color="auto" w:val="clear"/>
        <w:spacing w:after="200"/>
      </w:pPr>
      <w:r>
        <w:rPr>
          <w:b/>
          <w:bCs/>
        </w:rPr>
        <w:t xml:space="preserve">Plain-language summary.</w:t>
      </w:r>
      <w:r>
        <w:t xml:space="preserve"> If Largo charges a fire assessment, a court will look at the study behind it, not just at what the Commission says. This outline lists what the study must show: that fire service benefits property, how much of the fire budget is truly fire (not ambulance or medical), and how the cost is divided fairly between homes and businesses. It should be prepared by, or with, a qualified rate consultant. Every number needs its data source.</w:t>
      </w:r>
    </w:p>
    <w:p>
      <w:r>
        <w:rPr>
          <w:b/>
          <w:bCs/>
        </w:rPr>
        <w:t xml:space="preserve">Why this study is the hardest part in Largo.</w:t>
      </w:r>
      <w:r>
        <w:t xml:space="preserve"> Largo Fire Rescue's 2022 annual report shows 27,861 of 31,111 dispatched calls (about 90%) were medical. The Florida Supreme Court has held that comprehensive EMS cannot be funded by a special assessment, while first-response medical aid that is part of fire service may be distinguished (</w:t>
      </w:r>
      <w:r>
        <w:rPr>
          <w:i/>
          <w:iCs/>
        </w:rPr>
        <w:t xml:space="preserve">City of North Lauderdale v. SMM Properties</w:t>
      </w:r>
      <w:r>
        <w:t xml:space="preserve">, 825 So. 2d 343 (Fla. 2002)). How much of the department's cost is fire service is therefore the central question. [COUNSEL DETERMINATION]</w:t>
      </w:r>
    </w:p>
    <w:p>
      <w:pPr>
        <w:pStyle w:val="Heading2"/>
      </w:pPr>
      <w:r>
        <w:t xml:space="preserve">1. Purpose and scope</w:t>
      </w:r>
    </w:p>
    <w:p>
      <w:r>
        <w:t xml:space="preserve">Service: fire rescue services, excluding emergency medical services. Fiscal Year 2027-28. Area: incorporated City of Largo (29,816 parcels on the 2026 roll). Exclude service Largo provides under contract to the unincorporated district, Belleair and Belleair Bluffs.</w:t>
      </w:r>
    </w:p>
    <w:p>
      <w:pPr>
        <w:pStyle w:val="Heading2"/>
      </w:pPr>
      <w:r>
        <w:t xml:space="preserve">2. Legal framework (summary)</w:t>
      </w:r>
    </w:p>
    <w:p>
      <w:r>
        <w:t xml:space="preserve">Two-prong test: special benefit and fair apportionment (</w:t>
      </w:r>
      <w:r>
        <w:rPr>
          <w:i/>
          <w:iCs/>
        </w:rPr>
        <w:t xml:space="preserve">City of Boca Raton v. State</w:t>
      </w:r>
      <w:r>
        <w:t xml:space="preserve">, 595 So. 2d 25 (Fla. 1992); </w:t>
      </w:r>
      <w:r>
        <w:rPr>
          <w:i/>
          <w:iCs/>
        </w:rPr>
        <w:t xml:space="preserve">Lake County v. Water Oak Mgmt. Corp.</w:t>
      </w:r>
      <w:r>
        <w:t xml:space="preserve">, 695 So. 2d 667 (Fla. 1997); </w:t>
      </w:r>
      <w:r>
        <w:rPr>
          <w:i/>
          <w:iCs/>
        </w:rPr>
        <w:t xml:space="preserve">Sarasota County v. Sarasota Church of Christ</w:t>
      </w:r>
      <w:r>
        <w:t xml:space="preserve">, 667 So. 2d 180 (Fla. 1995); </w:t>
      </w:r>
      <w:r>
        <w:rPr>
          <w:i/>
          <w:iCs/>
        </w:rPr>
        <w:t xml:space="preserve">Morris v. City of Cape Coral</w:t>
      </w:r>
      <w:r>
        <w:t xml:space="preserve">, 163 So. 3d 1174 (Fla. 2015)). EMS exclusion (</w:t>
      </w:r>
      <w:r>
        <w:rPr>
          <w:i/>
          <w:iCs/>
        </w:rPr>
        <w:t xml:space="preserve">North Lauderdale</w:t>
      </w:r>
      <w:r>
        <w:t xml:space="preserve">). All legal conclusions: [COUNSEL DETERMINATION].</w:t>
      </w:r>
    </w:p>
    <w:p>
      <w:pPr>
        <w:pStyle w:val="Heading2"/>
      </w:pPr>
      <w:r>
        <w:t xml:space="preserve">3. Service description</w:t>
      </w:r>
    </w:p>
    <w:p>
      <w:r>
        <w:t xml:space="preserve">Six stations (38, 39, 40, 41, 42, 43); [current] engines, ladders, rescue units and ALS units; staffing per shift; response standards; ISO Public Protection Classification [rating]. [Source: Largo Fire Rescue; update 2022 figures.]</w:t>
      </w:r>
    </w:p>
    <w:p>
      <w:pPr>
        <w:pStyle w:val="Heading2"/>
      </w:pPr>
      <w:r>
        <w:t xml:space="preserve">4. Special benefit analysis</w:t>
      </w:r>
    </w:p>
    <w:p>
      <w:r>
        <w:t xml:space="preserve">Protection of structures and contents; containing spread to neighboring property; insurability and premiums (ISO/PPC); enabling occupancy and development; fire inspection and prevention. Cite data and studies.</w:t>
      </w:r>
    </w:p>
    <w:p>
      <w:pPr>
        <w:pStyle w:val="Heading2"/>
      </w:pPr>
      <w:r>
        <w:t xml:space="preserve">5. Cost base (Assessed Cost)</w:t>
      </w:r>
    </w:p>
    <w:p>
      <w:pPr>
        <w:pStyle w:val="ListParagraph"/>
        <w:numPr>
          <w:ilvl w:val="0"/>
          <w:numId w:val="2"/>
        </w:numPr>
      </w:pPr>
      <w:r>
        <w:t xml:space="preserve">Starting budget: Fire Rescue, FY 2027-28 [budget page]. FY 2025-26 operating cost was about $30.8M (City of Largo).</w:t>
      </w:r>
    </w:p>
    <w:p>
      <w:pPr>
        <w:pStyle w:val="ListParagraph"/>
        <w:numPr>
          <w:ilvl w:val="0"/>
          <w:numId w:val="2"/>
        </w:numPr>
      </w:pPr>
      <w:r>
        <w:t xml:space="preserve">Remove: County EMS funding [amount]; unincorporated fire district contract revenue [amount]; Belleair/Belleair Bluffs contract revenue [amount]; all comprehensive EMS cost [method: unit-hours by call type, or apparatus availability with EMS units removed]; non-assessable functions [list]; grants and inspection fees.</w:t>
      </w:r>
    </w:p>
    <w:p>
      <w:pPr>
        <w:pStyle w:val="ListParagraph"/>
        <w:numPr>
          <w:ilvl w:val="0"/>
          <w:numId w:val="2"/>
        </w:numPr>
      </w:pPr>
      <w:r>
        <w:t xml:space="preserve">Decide and document how first-response medical calls by fire engines are treated. [COUNSEL DETERMINATION]</w:t>
      </w:r>
    </w:p>
    <w:p>
      <w:pPr>
        <w:pStyle w:val="ListParagraph"/>
        <w:numPr>
          <w:ilvl w:val="0"/>
          <w:numId w:val="2"/>
        </w:numPr>
      </w:pPr>
      <w:r>
        <w:t xml:space="preserve">Add: allowable indirect costs (cost allocation plan); Property Appraiser and Tax Collector collection costs; statutory early-payment discount (about 4%) and uncollectibles.</w:t>
      </w:r>
    </w:p>
    <w:p>
      <w:pPr>
        <w:pStyle w:val="ListParagraph"/>
        <w:numPr>
          <w:ilvl w:val="0"/>
          <w:numId w:val="2"/>
        </w:numPr>
      </w:pPr>
      <w:r>
        <w:t xml:space="preserve">Result: Assessed Cost = $[ ]. Show 100%, 75% and 50% funding levels.</w:t>
      </w:r>
    </w:p>
    <w:p>
      <w:pPr>
        <w:pStyle w:val="Heading2"/>
      </w:pPr>
      <w:r>
        <w:t xml:space="preserve">6. Apportionment</w:t>
      </w:r>
    </w:p>
    <w:p>
      <w:pPr>
        <w:pStyle w:val="ListParagraph"/>
        <w:numPr>
          <w:ilvl w:val="0"/>
          <w:numId w:val="2"/>
        </w:numPr>
      </w:pPr>
      <w:r>
        <w:t xml:space="preserve">Property use categories from DOR use codes: residential (000-009), commercial (010-039), industrial (040-049), agricultural (050-069), institutional (070-079), government (080-089), other (090-099), vacant.</w:t>
      </w:r>
    </w:p>
    <w:p>
      <w:pPr>
        <w:pStyle w:val="ListParagraph"/>
        <w:numPr>
          <w:ilvl w:val="0"/>
          <w:numId w:val="2"/>
        </w:numPr>
      </w:pPr>
      <w:r>
        <w:t xml:space="preserve">2026 roll counts for the City: 38,439 residential units on 26,787 improved residential parcels; about 11.55 million sq ft commercial (1,011 parcels); 9.17 million sq ft industrial (332 parcels); 4.70 million sq ft institutional (111 parcels); 1,346 vacant parcels. (Building area is the appraiser's effective area; replace with the Property Appraiser's building file.)</w:t>
      </w:r>
    </w:p>
    <w:p>
      <w:pPr>
        <w:pStyle w:val="ListParagraph"/>
        <w:numPr>
          <w:ilvl w:val="0"/>
          <w:numId w:val="2"/>
        </w:numPr>
      </w:pPr>
      <w:r>
        <w:t xml:space="preserve">Demand by category: fire incidents by property use, [3-5 years], from Largo Fire Rescue records (NFIRS/CAD).</w:t>
      </w:r>
    </w:p>
    <w:p>
      <w:pPr>
        <w:pStyle w:val="ListParagraph"/>
        <w:numPr>
          <w:ilvl w:val="0"/>
          <w:numId w:val="2"/>
        </w:numPr>
      </w:pPr>
      <w:r>
        <w:t xml:space="preserve">Within category: residential per dwelling unit; non-residential by building square-foot tiers; vacant per parcel. Consider a two-tier (availability + improvement) method (</w:t>
      </w:r>
      <w:r>
        <w:rPr>
          <w:i/>
          <w:iCs/>
        </w:rPr>
        <w:t xml:space="preserve">Morris</w:t>
      </w:r>
      <w:r>
        <w:t xml:space="preserve">).</w:t>
      </w:r>
    </w:p>
    <w:p>
      <w:pPr>
        <w:pStyle w:val="ListParagraph"/>
        <w:numPr>
          <w:ilvl w:val="0"/>
          <w:numId w:val="2"/>
        </w:numPr>
      </w:pPr>
      <w:r>
        <w:t xml:space="preserve">Special rules: mobile/manufactured home parks (4,127 manufactured home parcels per the City); RV parks (Ch. 2026-37, Laws of Fla.); mixed-use; multiple buildings; government and exempt parcels.</w:t>
      </w:r>
    </w:p>
    <w:p>
      <w:pPr>
        <w:pStyle w:val="Heading2"/>
      </w:pPr>
      <w:r>
        <w:t xml:space="preserve">7. Rates</w:t>
      </w:r>
    </w:p>
    <w:p>
      <w:r>
        <w:t xml:space="preserve">Rate table by category at 100%, 75% and 50% of the Assessed Cost, with a maximum rate.</w:t>
      </w:r>
    </w:p>
    <w:p>
      <w:pPr>
        <w:pStyle w:val="Heading2"/>
      </w:pPr>
      <w:r>
        <w:t xml:space="preserve">8. Revenue and who pays</w:t>
      </w:r>
    </w:p>
    <w:p>
      <w:r>
        <w:t xml:space="preserve">Revenue by category; cost of paying for exempt or institutional parcels from other funds. Comparison with Amendment 3 property tax savings for sample parcels (median homestead under and over $250k; condo; rental; small shop; warehouse; large commercial; church). Illustrations from the 2026 roll are in the Plan memo §5.</w:t>
      </w:r>
    </w:p>
    <w:p>
      <w:pPr>
        <w:pStyle w:val="Heading2"/>
      </w:pPr>
      <w:r>
        <w:t xml:space="preserve">9. Proposed findings</w:t>
      </w:r>
    </w:p>
    <w:p>
      <w:r>
        <w:t xml:space="preserve">For the ordinance and resolutions.</w:t>
      </w:r>
    </w:p>
    <w:p>
      <w:pPr>
        <w:pStyle w:val="Heading2"/>
      </w:pPr>
      <w:r>
        <w:t xml:space="preserve">10. Appendices</w:t>
      </w:r>
    </w:p>
    <w:p>
      <w:r>
        <w:t xml:space="preserve">Data extracts; use-code crosswalk; incident data; cost allocation workpapers.</w:t>
      </w:r>
    </w:p>
    <w:sectPr>
      <w:headerReference w:type="default" r:id="rId6"/>
      <w:footerReference w:type="default" r:id="rId7"/>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05 Fire Assessment Methodology Report Outline  |  Page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C00000"/>
        <w:sz w:val="16"/>
        <w:szCs w:val="16"/>
      </w:rPr>
      <w:t xml:space="preserve">DRAFT for City Attorney review. Citizen-prepared. Not legal advice. 2026-11-04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after="14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240"/>
      <w:outlineLvl w:val="0"/>
    </w:pPr>
    <w:rPr>
      <w:rFonts w:ascii="Calibri" w:cs="Calibri" w:eastAsia="Calibri" w:hAnsi="Calibri"/>
      <w:b/>
      <w:bCs/>
      <w:color w:val="1F3864"/>
      <w:sz w:val="30"/>
      <w:szCs w:val="30"/>
    </w:rPr>
  </w:style>
  <w:style w:type="paragraph" w:styleId="Heading2">
    <w:name w:val="Heading 2"/>
    <w:basedOn w:val="Normal"/>
    <w:next w:val="Normal"/>
    <w:qFormat/>
    <w:pPr>
      <w:keepNext/>
      <w:spacing w:after="120" w:before="240"/>
      <w:outlineLvl w:val="1"/>
    </w:pPr>
    <w:rPr>
      <w:rFonts w:ascii="Calibri" w:cs="Calibri" w:eastAsia="Calibri" w:hAnsi="Calibri"/>
      <w:b/>
      <w:bCs/>
      <w:color w:val="1F3864"/>
      <w:sz w:val="26"/>
      <w:szCs w:val="26"/>
    </w:rPr>
  </w:style>
  <w:style w:type="paragraph" w:styleId="Heading3">
    <w:name w:val="Heading 3"/>
    <w:basedOn w:val="Normal"/>
    <w:next w:val="Normal"/>
    <w:qFormat/>
    <w:pPr>
      <w:keepNext/>
      <w:spacing w:after="100" w:before="200"/>
      <w:outlineLvl w:val="2"/>
    </w:pPr>
    <w:rPr>
      <w:rFonts w:ascii="Calibri" w:cs="Calibri" w:eastAsia="Calibri" w:hAnsi="Calibri"/>
      <w:b/>
      <w:bCs/>
      <w:sz w:val="23"/>
      <w:szCs w:val="23"/>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2026-11-04T20:15:33.527Z</dcterms:created>
  <dcterms:modified xsi:type="dcterms:W3CDTF">2026-11-04T20:15:33.527Z</dcterms:modified>
</cp:coreProperties>
</file>

<file path=docProps/custom.xml><?xml version="1.0" encoding="utf-8"?>
<Properties xmlns="http://schemas.openxmlformats.org/officeDocument/2006/custom-properties" xmlns:vt="http://schemas.openxmlformats.org/officeDocument/2006/docPropsVTypes"/>
</file>