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highlight w:val="yellow"/>
        </w:rPr>
        <w:t>INDEPENDENT DEMONSTRATION. Drafted by an AI skill in a simulated conversation, using only public records, to show how the Florida Amendment 3 revenue skill works (amendment3.macrify.me). Not prepared by, for, or with the City of Largo, and not reviewed or endorsed by it. Not legal advice. The "resident" in these drafts is the role played in the demonstration.</w:t>
      </w:r>
    </w:p>
    <w:p>
      <w:pPr>
        <w:pStyle w:val="Heading1"/>
      </w:pPr>
      <w:r>
        <w:t xml:space="preserve">ORDINANCE NO. [____]</w:t>
      </w:r>
    </w:p>
    <w:p>
      <w:pPr>
        <w:pBdr>
          <w:left w:val="single" w:color="E0A800" w:sz="18" w:space="8"/>
        </w:pBdr>
        <w:shd w:fill="FFF4D6" w:color="auto" w:val="clear"/>
        <w:spacing w:after="200"/>
      </w:pPr>
      <w:r>
        <w:rPr>
          <w:b/>
          <w:bCs/>
        </w:rPr>
        <w:t xml:space="preserve">Plain-language summary.</w:t>
      </w:r>
      <w:r>
        <w:t xml:space="preserve"> This ordinance sets the rules for a yearly fire assessment: what it pays for (fire service, not ambulance or medical), how the cost is divided, how owners are notified, and how it is collected on the tax bill. It sets no dollar amount. Amounts are set each year by resolution after mailed notice and a hearing. It also says that any break given to churches, nonprofits or others is paid from other City money, not by raising other owners' charges.</w:t>
      </w:r>
    </w:p>
    <w:p>
      <w:r>
        <w:t xml:space="preserve">AN ORDINANCE OF THE CITY OF LARGO, FLORIDA, RELATING TO FIRE RESCUE SERVICES; AUTHORIZING THE IMPOSITION AND COLLECTION OF FIRE RESCUE ASSESSMENTS AGAINST SPECIALLY BENEFITED PROPERTY; PROVIDING DEFINITIONS AND LEGISLATIVE FINDINGS; PROVIDING PROCEDURES FOR INITIAL AND FINAL ASSESSMENT RESOLUTIONS, NOTICE, HEARINGS, AND ADOPTION OF ASSESSMENT ROLLS; PROVIDING FOR COLLECTION UNDER THE UNIFORM METHOD OR ALTERNATIVE METHODS; PROVIDING FOR EXEMPTIONS AND BUY-DOWNS FUNDED FROM OTHER REVENUE; PROVIDING A DEADLINE FOR CHALLENGES; PROVIDING FOR CODIFICATION, SEVERABILITY, CONFLICTS, AND AN EFFECTIVE DATE.</w:t>
      </w:r>
    </w:p>
    <w:p>
      <w:r>
        <w:t xml:space="preserve">WHEREAS, the City of Largo has home rule authority under Article VIII, Section 2(b), Florida Constitution, and Section 166.021, Florida Statutes; and</w:t>
      </w:r>
    </w:p>
    <w:p>
      <w:r>
        <w:t xml:space="preserve">WHEREAS, the amendment to Article VII, Section 6, Florida Constitution, approved November 3, 2026, is estimated to reduce revenue available to the City by approximately $15.7 million annually at full implementation [SOURCE: City of Largo; staff to confirm]; and</w:t>
      </w:r>
    </w:p>
    <w:p>
      <w:r>
        <w:t xml:space="preserve">WHEREAS, a special assessment that provides a special benefit to property and is fairly and reasonably apportioned is not a tax, and the amended homestead exemption does not apply to "assessments for special benefits"; and</w:t>
      </w:r>
    </w:p>
    <w:p>
      <w:r>
        <w:t xml:space="preserve">WHEREAS, the City Commission has received the [Largo Fire Rescue Assessment Methodology Report] dated [DATE] (the "Report").</w:t>
      </w:r>
    </w:p>
    <w:p>
      <w:r>
        <w:t xml:space="preserve">BE IT ORDAINED BY THE CITY COMMISSION OF THE CITY OF LARGO, FLORIDA:</w:t>
      </w:r>
    </w:p>
    <w:p>
      <w:r>
        <w:rPr>
          <w:b/>
          <w:bCs/>
        </w:rPr>
        <w:t xml:space="preserve">SECTION 1. AUTHORITY.</w:t>
      </w:r>
      <w:r>
        <w:t xml:space="preserve"> This Ordinance is adopted under Article VIII, Section 2(b), Florida Constitution; Sections 166.021 and 166.041, Florida Statutes; and other applicable law.</w:t>
      </w:r>
    </w:p>
    <w:p>
      <w:r>
        <w:rPr>
          <w:b/>
          <w:bCs/>
        </w:rPr>
        <w:t xml:space="preserve">SECTION 2. DEFINITIONS.</w:t>
      </w:r>
      <w:r>
        <w:t xml:space="preserve"> As used in this Ordinance:</w:t>
      </w:r>
    </w:p>
    <w:p>
      <w:pPr>
        <w:pStyle w:val="ListParagraph"/>
        <w:numPr>
          <w:ilvl w:val="0"/>
          <w:numId w:val="2"/>
        </w:numPr>
      </w:pPr>
      <w:r>
        <w:t xml:space="preserve">"Assessed Cost" means the amount of the cost of fire rescue services to be funded by assessments in a Fiscal Year, excluding the cost of emergency medical services and any other cost counsel determines cannot be assessed, as computed in the Report.</w:t>
      </w:r>
    </w:p>
    <w:p>
      <w:pPr>
        <w:pStyle w:val="ListParagraph"/>
        <w:numPr>
          <w:ilvl w:val="0"/>
          <w:numId w:val="2"/>
        </w:numPr>
      </w:pPr>
      <w:r>
        <w:t xml:space="preserve">"Assessment Roll" means the list of parcels, owners, Property Use Categories, billing units and assessments approved under this Ordinance.</w:t>
      </w:r>
    </w:p>
    <w:p>
      <w:pPr>
        <w:pStyle w:val="ListParagraph"/>
        <w:numPr>
          <w:ilvl w:val="0"/>
          <w:numId w:val="2"/>
        </w:numPr>
      </w:pPr>
      <w:r>
        <w:t xml:space="preserve">"Building" means [definition from Report].</w:t>
      </w:r>
    </w:p>
    <w:p>
      <w:pPr>
        <w:pStyle w:val="ListParagraph"/>
        <w:numPr>
          <w:ilvl w:val="0"/>
          <w:numId w:val="2"/>
        </w:numPr>
      </w:pPr>
      <w:r>
        <w:t xml:space="preserve">"Dwelling Unit" means [definition from Report].</w:t>
      </w:r>
    </w:p>
    <w:p>
      <w:pPr>
        <w:pStyle w:val="ListParagraph"/>
        <w:numPr>
          <w:ilvl w:val="0"/>
          <w:numId w:val="2"/>
        </w:numPr>
      </w:pPr>
      <w:r>
        <w:t xml:space="preserve">"Fiscal Year" means October 1 through September 30.</w:t>
      </w:r>
    </w:p>
    <w:p>
      <w:pPr>
        <w:pStyle w:val="ListParagraph"/>
        <w:numPr>
          <w:ilvl w:val="0"/>
          <w:numId w:val="2"/>
        </w:numPr>
      </w:pPr>
      <w:r>
        <w:t xml:space="preserve">"Government Property" means property owned by the United States, the State, a county, a school district, the City, or another governmental entity.</w:t>
      </w:r>
    </w:p>
    <w:p>
      <w:pPr>
        <w:pStyle w:val="ListParagraph"/>
        <w:numPr>
          <w:ilvl w:val="0"/>
          <w:numId w:val="2"/>
        </w:numPr>
      </w:pPr>
      <w:r>
        <w:t xml:space="preserve">"Institutional Property" means property with DOR use codes 070-079, including churches and charitable organizations.</w:t>
      </w:r>
    </w:p>
    <w:p>
      <w:pPr>
        <w:pStyle w:val="ListParagraph"/>
        <w:numPr>
          <w:ilvl w:val="0"/>
          <w:numId w:val="2"/>
        </w:numPr>
      </w:pPr>
      <w:r>
        <w:t xml:space="preserve">"Owner" means the person shown as owner on the Tax Roll.</w:t>
      </w:r>
    </w:p>
    <w:p>
      <w:pPr>
        <w:pStyle w:val="ListParagraph"/>
        <w:numPr>
          <w:ilvl w:val="0"/>
          <w:numId w:val="2"/>
        </w:numPr>
      </w:pPr>
      <w:r>
        <w:t xml:space="preserve">"Parcel" means a parcel of real property with a separate parcel identification number on the Tax Roll.</w:t>
      </w:r>
    </w:p>
    <w:p>
      <w:pPr>
        <w:pStyle w:val="ListParagraph"/>
        <w:numPr>
          <w:ilvl w:val="0"/>
          <w:numId w:val="2"/>
        </w:numPr>
      </w:pPr>
      <w:r>
        <w:t xml:space="preserve">"Property Use Category" means a category of property defined in the Report by reference to DOR use codes.</w:t>
      </w:r>
    </w:p>
    <w:p>
      <w:pPr>
        <w:pStyle w:val="ListParagraph"/>
        <w:numPr>
          <w:ilvl w:val="0"/>
          <w:numId w:val="2"/>
        </w:numPr>
      </w:pPr>
      <w:r>
        <w:t xml:space="preserve">"Tax Roll" means the real property ad valorem tax roll maintained by the Pinellas County Property Appraiser.</w:t>
      </w:r>
    </w:p>
    <w:p>
      <w:pPr>
        <w:pStyle w:val="ListParagraph"/>
        <w:numPr>
          <w:ilvl w:val="0"/>
          <w:numId w:val="2"/>
        </w:numPr>
      </w:pPr>
      <w:r>
        <w:t xml:space="preserve">"Uniform Assessment Collection Act" means Sections 197.3632 and 197.3635, Florida Statutes.</w:t>
      </w:r>
    </w:p>
    <w:p>
      <w:r>
        <w:rPr>
          <w:b/>
          <w:bCs/>
        </w:rPr>
        <w:t xml:space="preserve">SECTION 3. LEGISLATIVE FINDINGS.</w:t>
      </w:r>
      <w:r>
        <w:t xml:space="preserve"> [COUNSEL DETERMINATION: findings must rest on the Report and the record, not on conclusions alone (</w:t>
      </w:r>
      <w:r>
        <w:rPr>
          <w:i/>
          <w:iCs/>
        </w:rPr>
        <w:t xml:space="preserve">City of North Lauderdale v. SMM Properties</w:t>
      </w:r>
      <w:r>
        <w:t xml:space="preserve">, 825 So. 2d 343 (Fla. 2002)).]</w:t>
      </w:r>
    </w:p>
    <w:p>
      <w:r>
        <w:t xml:space="preserve">(a) Fire rescue services provided by the City possess a logical relationship to the use and enjoyment of real property by [from Report §4: protecting structures and contents, limiting the spread of fire, supporting insurability, and enabling the use and development of property] [Report sections].</w:t>
      </w:r>
    </w:p>
    <w:p>
      <w:r>
        <w:t xml:space="preserve">(b) The Assessed Cost is fairly and reasonably apportioned among Property Use Categories on the basis of [from Report §6: e.g., historical demand for fire service by category as shown in incident data for [years], and within each category by dwelling unit or building square-foot tier].</w:t>
      </w:r>
    </w:p>
    <w:p>
      <w:r>
        <w:t xml:space="preserve">(c) The Assessed Cost excludes the cost of comprehensive emergency medical services, which provide a personal benefit to individuals rather than to property. First-response medical aid rendered as part of fire service is included only to the extent supported by [Report §5 cost allocation]. [COUNSEL DETERMINATION]</w:t>
      </w:r>
    </w:p>
    <w:p>
      <w:r>
        <w:t xml:space="preserve">(d) Special assessments are not reduced by the homestead exemption. Any relief the City provides is funded under Section 10.</w:t>
      </w:r>
    </w:p>
    <w:p>
      <w:r>
        <w:rPr>
          <w:b/>
          <w:bCs/>
        </w:rPr>
        <w:t xml:space="preserve">SECTION 4. IMPOSITION.</w:t>
      </w:r>
      <w:r>
        <w:t xml:space="preserve"> (a) The City Commission may impose an annual fire rescue assessment to fund all or part of the Assessed Cost by adopting an Initial and a Final Assessment Resolution under this Ordinance. (b) The assessment shall be computed as set out in the Initial Assessment Resolution, consistent with the Report as updated from time to time. (c) No assessment revenue shall be used for emergency medical services.</w:t>
      </w:r>
    </w:p>
    <w:p>
      <w:r>
        <w:rPr>
          <w:b/>
          <w:bCs/>
        </w:rPr>
        <w:t xml:space="preserve">SECTION 5. INITIAL ASSESSMENT RESOLUTION.</w:t>
      </w:r>
      <w:r>
        <w:t xml:space="preserve"> In each year in which an assessment is first imposed, increased beyond the maximum rate, or changed as described in Section 197.3632(4)(a), Florida Statutes, the City Commission shall adopt an Initial Assessment Resolution that: (1) describes the service and the Assessed Cost; (2) sets the apportionment method and proposed rates by Property Use Category; (3) states the maximum rate for future years; (4) directs preparation of the preliminary Assessment Roll; (5) sets the date of the public hearing; and (6) directs the notices required by Section 6.</w:t>
      </w:r>
    </w:p>
    <w:p>
      <w:r>
        <w:rPr>
          <w:b/>
          <w:bCs/>
        </w:rPr>
        <w:t xml:space="preserve">SECTION 6. NOTICE.</w:t>
      </w:r>
      <w:r>
        <w:t xml:space="preserve"> At least 20 days before the hearing, the City Manager shall (a) mail notice by first-class United States mail to each Owner, and (b) publish notice, each containing the information required by Section 197.3632(4)(b), Florida Statutes. Failure of an Owner to receive mailed notice does not invalidate the assessment if notice was published and the City made a good-faith attempt to mail it.</w:t>
      </w:r>
    </w:p>
    <w:p>
      <w:r>
        <w:rPr>
          <w:b/>
          <w:bCs/>
        </w:rPr>
        <w:t xml:space="preserve">SECTION 7. HEARING; FINAL ASSESSMENT RESOLUTION.</w:t>
      </w:r>
      <w:r>
        <w:t xml:space="preserve"> At the hearing the City Commission shall receive written objections and hear testimony, may adjust any assessment on the basis of benefit, and may adopt a Final Assessment Resolution confirming the Assessment Roll. The Final Assessment Resolution is the final adjudication of the issues presented, unless proper steps are taken in a court of competent jurisdiction to secure relief </w:t>
      </w:r>
      <w:r>
        <w:rPr>
          <w:b/>
          <w:bCs/>
        </w:rPr>
        <w:t xml:space="preserve">within [20] days</w:t>
      </w:r>
      <w:r>
        <w:t xml:space="preserve"> after the date of the City Commission's action on it. [COUNSEL DETERMINATION: the challenge period; see </w:t>
      </w:r>
      <w:r>
        <w:rPr>
          <w:i/>
          <w:iCs/>
        </w:rPr>
        <w:t xml:space="preserve">City of Cooper City v. Joliff</w:t>
      </w:r>
      <w:r>
        <w:t xml:space="preserve">, 227 So. 3d 633 (Fla. 4th DCA 2017).]</w:t>
      </w:r>
    </w:p>
    <w:p>
      <w:r>
        <w:rPr>
          <w:b/>
          <w:bCs/>
        </w:rPr>
        <w:t xml:space="preserve">SECTION 8. LIEN; COLLECTION.</w:t>
      </w:r>
      <w:r>
        <w:t xml:space="preserve"> Assessments are a lien on the assessed Parcel from [January 1 of the year the roll is certified / the date the Final Assessment Resolution is adopted], equal in rank to county taxes. Assessments shall be collected under the Uniform Assessment Collection Act, or by any other method authorized by law if the City Commission so determines.</w:t>
      </w:r>
    </w:p>
    <w:p>
      <w:r>
        <w:rPr>
          <w:b/>
          <w:bCs/>
        </w:rPr>
        <w:t xml:space="preserve">SECTION 9. LATER YEARS.</w:t>
      </w:r>
      <w:r>
        <w:t xml:space="preserve"> In later years the City Commission shall adopt an annual rate resolution at or before its final budget hearing and certify the Assessment Roll to the Tax Collector by September 15. No new mailed notice is needed unless Section 197.3632(4)(a), Florida Statutes, requires it.</w:t>
      </w:r>
    </w:p>
    <w:p>
      <w:r>
        <w:rPr>
          <w:b/>
          <w:bCs/>
        </w:rPr>
        <w:t xml:space="preserve">SECTION 10. EXEMPTIONS AND BUY-DOWNS.</w:t>
      </w:r>
      <w:r>
        <w:t xml:space="preserve"> (a) [Policy for Government Property and Institutional Property, e.g., "Government Property is exempt. Assessments allocable to Institutional Property shall be paid by the City from other legally available revenue."] [COUNSEL DETERMINATION for each class, including school and state property.] (b) Any exemption, hardship assistance, or reduction granted by the City Commission shall be funded from legally available revenue other than the assessment, and shall not increase any other Owner's assessment.</w:t>
      </w:r>
    </w:p>
    <w:p>
      <w:r>
        <w:rPr>
          <w:b/>
          <w:bCs/>
        </w:rPr>
        <w:t xml:space="preserve">SECTION 11. CORRECTION OF ERRORS.</w:t>
      </w:r>
      <w:r>
        <w:t xml:space="preserve"> [Procedure for owners to request correction of errors in the roll, timelines, and refunds.]</w:t>
      </w:r>
    </w:p>
    <w:p>
      <w:r>
        <w:rPr>
          <w:b/>
          <w:bCs/>
        </w:rPr>
        <w:t xml:space="preserve">SECTION 12. CODIFICATION.</w:t>
      </w:r>
      <w:r>
        <w:t xml:space="preserve"> This Ordinance shall be codified in the City Code at [Chapter ___].</w:t>
      </w:r>
    </w:p>
    <w:p>
      <w:r>
        <w:rPr>
          <w:b/>
          <w:bCs/>
        </w:rPr>
        <w:t xml:space="preserve">SECTION 13. SEVERABILITY.</w:t>
      </w:r>
      <w:r>
        <w:t xml:space="preserve"> If any part of this Ordinance is held invalid, the remainder shall remain in effect.</w:t>
      </w:r>
    </w:p>
    <w:p>
      <w:r>
        <w:rPr>
          <w:b/>
          <w:bCs/>
        </w:rPr>
        <w:t xml:space="preserve">SECTION 14. CONFLICTS.</w:t>
      </w:r>
      <w:r>
        <w:t xml:space="preserve"> Ordinances in conflict with this Ordinance are repealed to the extent of the conflict.</w:t>
      </w:r>
    </w:p>
    <w:p>
      <w:r>
        <w:rPr>
          <w:b/>
          <w:bCs/>
        </w:rPr>
        <w:t xml:space="preserve">SECTION 15. EFFECTIVE DATE.</w:t>
      </w:r>
      <w:r>
        <w:t xml:space="preserve"> This Ordinance takes effect [immediately upon adoption / ten days after adoption].</w:t>
      </w:r>
    </w:p>
    <w:p>
      <w:r>
        <w:t xml:space="preserve">PASSED ON FIRST READING [DATE]. PASSED AND ADOPTED ON SECOND READING [DATE].</w:t>
      </w:r>
    </w:p>
    <w:p>
      <w:r>
        <w:t xml:space="preserve">[Signatures / attestation / approved as to form]</w:t>
      </w:r>
    </w:p>
    <w:p>
      <w:pPr>
        <w:pBdr>
          <w:bottom w:val="single" w:color="999999" w:sz="6" w:space="1"/>
        </w:pBdr>
      </w:pPr>
    </w:p>
    <w:p>
      <w:r>
        <w:rPr>
          <w:b/>
          <w:bCs/>
        </w:rPr>
        <w:t xml:space="preserve">Enactment:</w:t>
      </w:r>
      <w:r>
        <w:t xml:space="preserve"> two readings on separate days; notice published at least 10 days before adoption; business impact estimate (draft 07) posted no later than the notice date (s. 166.041). Follow the City Charter and Code for form and recitals.</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06 Master Fire Assessment Ordinance  |  Page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C00000"/>
        <w:sz w:val="16"/>
        <w:szCs w:val="16"/>
      </w:rPr>
      <w:t xml:space="preserve">DRAFT for City Attorney review. Citizen-prepared. Not legal advice. 2026-11-04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240"/>
      <w:outlineLvl w:val="0"/>
    </w:pPr>
    <w:rPr>
      <w:rFonts w:ascii="Calibri" w:cs="Calibri" w:eastAsia="Calibri" w:hAnsi="Calibri"/>
      <w:b/>
      <w:bCs/>
      <w:color w:val="1F3864"/>
      <w:sz w:val="30"/>
      <w:szCs w:val="30"/>
    </w:rPr>
  </w:style>
  <w:style w:type="paragraph" w:styleId="Heading2">
    <w:name w:val="Heading 2"/>
    <w:basedOn w:val="Normal"/>
    <w:next w:val="Normal"/>
    <w:qFormat/>
    <w:pPr>
      <w:keepNext/>
      <w:spacing w:after="120" w:before="240"/>
      <w:outlineLvl w:val="1"/>
    </w:pPr>
    <w:rPr>
      <w:rFonts w:ascii="Calibri" w:cs="Calibri" w:eastAsia="Calibri" w:hAnsi="Calibri"/>
      <w:b/>
      <w:bCs/>
      <w:color w:val="1F3864"/>
      <w:sz w:val="26"/>
      <w:szCs w:val="26"/>
    </w:rPr>
  </w:style>
  <w:style w:type="paragraph" w:styleId="Heading3">
    <w:name w:val="Heading 3"/>
    <w:basedOn w:val="Normal"/>
    <w:next w:val="Normal"/>
    <w:qFormat/>
    <w:pPr>
      <w:keepNext/>
      <w:spacing w:after="100" w:before="200"/>
      <w:outlineLvl w:val="2"/>
    </w:pPr>
    <w:rPr>
      <w:rFonts w:ascii="Calibri" w:cs="Calibri" w:eastAsia="Calibri" w:hAnsi="Calibri"/>
      <w:b/>
      <w:bCs/>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2026-11-04T20:15:33.539Z</dcterms:created>
  <dcterms:modified xsi:type="dcterms:W3CDTF">2026-11-04T20:15:33.539Z</dcterms:modified>
</cp:coreProperties>
</file>

<file path=docProps/custom.xml><?xml version="1.0" encoding="utf-8"?>
<Properties xmlns="http://schemas.openxmlformats.org/officeDocument/2006/custom-properties" xmlns:vt="http://schemas.openxmlformats.org/officeDocument/2006/docPropsVTypes"/>
</file>