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Business Impact Estimate: Fire Rescue Assessment Ordinance</w:t>
      </w:r>
    </w:p>
    <w:p>
      <w:pPr>
        <w:pBdr>
          <w:left w:val="single" w:color="E0A800" w:sz="18" w:space="8"/>
        </w:pBdr>
        <w:shd w:fill="FFF4D6" w:color="auto" w:val="clear"/>
        <w:spacing w:after="200"/>
      </w:pPr>
      <w:r>
        <w:rPr>
          <w:b/>
          <w:bCs/>
        </w:rPr>
        <w:t xml:space="preserve">Plain-language summary.</w:t>
      </w:r>
      <w:r>
        <w:t xml:space="preserve"> State law requires the City to post an estimate of how a new ordinance affects businesses before the ordinance's public notice runs. This draft does that for the fire assessment ordinance.</w:t>
      </w:r>
    </w:p>
    <w:p>
      <w:r>
        <w:t xml:space="preserve">Posted on the City of Largo website on [DATE], no later than the date notice of the proposed ordinance is published (s. 166.041(4)(a), Fla. Stat.).</w:t>
      </w:r>
    </w:p>
    <w:p>
      <w:r>
        <w:rPr>
          <w:b/>
          <w:bCs/>
        </w:rPr>
        <w:t xml:space="preserve">Proposed ordinance:</w:t>
      </w:r>
      <w:r>
        <w:t xml:space="preserve"> Ordinance No. [____], relating to fire rescue services and authorizing fire rescue assessments.</w:t>
      </w:r>
    </w:p>
    <w:p>
      <w:r>
        <w:rPr>
          <w:b/>
          <w:bCs/>
        </w:rPr>
        <w:t xml:space="preserve">Exemption check.</w:t>
      </w:r>
      <w:r>
        <w:t xml:space="preserve"> [COUNSEL DETERMINATION] Whether this ordinance falls within an exemption in s. 166.041(4)(c) (for example, "ordinances relating to the adoption of budgets or budget amendments, including revenue sources necessary to fund the budget"). This estimate is provided [because no exemption applies / voluntarily, without waiving any exemption].</w:t>
      </w:r>
    </w:p>
    <w:p>
      <w:pPr>
        <w:pStyle w:val="Heading2"/>
      </w:pPr>
      <w:r>
        <w:t xml:space="preserve">1. Summary and public purpose</w:t>
      </w:r>
    </w:p>
    <w:p>
      <w:r>
        <w:t xml:space="preserve">The ordinance lets the City charge an annual assessment on property for fire service (not ambulance or medical service), billed on the property tax notice, to keep fire service at current levels after Amendment 3 reduces the City's property tax revenue. It sets procedures only; rates are set later by resolution after mailed notice and a hearing.</w:t>
      </w:r>
    </w:p>
    <w:p>
      <w:pPr>
        <w:pStyle w:val="Heading2"/>
      </w:pPr>
      <w:r>
        <w:t xml:space="preserve">2. Estimated direct compliance costs for businesses</w:t>
      </w:r>
    </w:p>
    <w:p>
      <w:r>
        <w:t xml:space="preserve">No new compliance activity. The assessment appears on the annual tax notice.</w:t>
      </w:r>
    </w:p>
    <w:p>
      <w:pPr>
        <w:pStyle w:val="Heading2"/>
      </w:pPr>
      <w:r>
        <w:t xml:space="preserve">3. New charges on businesses</w:t>
      </w:r>
    </w:p>
    <w:p>
      <w:r>
        <w:t xml:space="preserve">The ordinance itself imposes no charge. If an assessment is later imposed, businesses would pay by building size. For scale only (placeholder rates, not proposals): at 15 cents per square foot, commercial property would pay about $1.73M and industrial about $1.38M a year; at 7.5 cents, about half that (2026 tax roll; building area is the appraiser's effective area). Final rates: [from the Report].</w:t>
      </w:r>
    </w:p>
    <w:p>
      <w:r>
        <w:t xml:space="preserve">Context: Amendment 3's homestead exemption does not apply to business property. On the 2026 roll, commercial and industrial property's share of City taxable value would rise from about 32% to about 39% at full implementation.</w:t>
      </w:r>
    </w:p>
    <w:p>
      <w:pPr>
        <w:pStyle w:val="Heading2"/>
      </w:pPr>
      <w:r>
        <w:t xml:space="preserve">4. Regulatory costs to the City and revenue from new charges</w:t>
      </w:r>
    </w:p>
    <w:p>
      <w:r>
        <w:t xml:space="preserve">Administration and collection costs, including Property Appraiser and Tax Collector fees: $[ ]. Estimated assessment revenue from business property: $[ ] [from the Report].</w:t>
      </w:r>
    </w:p>
    <w:p>
      <w:pPr>
        <w:pStyle w:val="Heading2"/>
      </w:pPr>
      <w:r>
        <w:t xml:space="preserve">5. Number of businesses likely affected</w:t>
      </w:r>
    </w:p>
    <w:p>
      <w:r>
        <w:t xml:space="preserve">About 1,343 improved commercial and industrial parcels and 285 vacant non-residential parcels in the City on the 2026 tax roll (DOR use codes 010-049). Owners may hold several parcels, so the number of businesses is [ ].</w:t>
      </w:r>
    </w:p>
    <w:p>
      <w:pPr>
        <w:pStyle w:val="Heading2"/>
      </w:pPr>
      <w:r>
        <w:t xml:space="preserve">6. Additional information</w:t>
      </w:r>
    </w:p>
    <w:p>
      <w:r>
        <w:t xml:space="preserve">[Optional.]</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07 Business Impact Estimate - Fire Assessment Ordinance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2026-11-04T20:15:33.546Z</dcterms:created>
  <dcterms:modified xsi:type="dcterms:W3CDTF">2026-11-04T20:15:33.546Z</dcterms:modified>
</cp:coreProperties>
</file>

<file path=docProps/custom.xml><?xml version="1.0" encoding="utf-8"?>
<Properties xmlns="http://schemas.openxmlformats.org/officeDocument/2006/custom-properties" xmlns:vt="http://schemas.openxmlformats.org/officeDocument/2006/docPropsVTypes"/>
</file>