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ORDINANCE NO. [____]</w:t>
      </w:r>
    </w:p>
    <w:p>
      <w:pPr>
        <w:pBdr>
          <w:left w:val="single" w:color="E0A800" w:sz="18" w:space="8"/>
        </w:pBdr>
        <w:shd w:fill="FFF4D6" w:color="auto" w:val="clear"/>
        <w:spacing w:after="200"/>
      </w:pPr>
      <w:r>
        <w:rPr>
          <w:b/>
          <w:bCs/>
        </w:rPr>
        <w:t xml:space="preserve">Plain-language summary.</w:t>
      </w:r>
      <w:r>
        <w:t xml:space="preserve"> This ordinance updates fees for recreation, aquatics, tennis, facility rentals and the Central Park Performing Arts Center, using a written policy on how much of each service's cost users should pay. Fees can cover up to the real cost of a service, not more. Help for lower-income residents and youth is built in. Revenue goes to the Recreation, Library and Cultural Arts Fund (draft 03), so these programs depend less on the General Fund.</w:t>
      </w:r>
    </w:p>
    <w:p>
      <w:r>
        <w:t xml:space="preserve">AN ORDINANCE OF THE CITY OF LARGO, FLORIDA, ESTABLISHING AND AMENDING FEES FOR RECREATION PROGRAMS, AQUATIC AND TENNIS FACILITIES, FACILITY RENTALS, AND THE CENTRAL PARK PERFORMING ARTS CENTER; ADOPTING A COST RECOVERY POLICY; PROVIDING FOR ANNUAL ADJUSTMENT; PROVIDING FOR WAIVERS AND ASSISTANCE; PROVIDING FOR THE DEPOSIT OF REVENUE; AND PROVIDING AN EFFECTIVE DATE.</w:t>
      </w:r>
    </w:p>
    <w:p>
      <w:r>
        <w:t xml:space="preserve">WHEREAS, the City provides recreation programs, aquatic and tennis facilities, rentable facilities, and performing arts programming at the Central Park Performing Arts Center, which are used voluntarily by individual persons and organizations for their particular benefit; and</w:t>
      </w:r>
    </w:p>
    <w:p>
      <w:r>
        <w:t xml:space="preserve">WHEREAS, the [Recreation, Parks and Arts Cost of Service Study] dated [DATE] (the "Study") sets out the full cost of providing each service and the share of that cost now paid from the General Fund; and</w:t>
      </w:r>
    </w:p>
    <w:p>
      <w:r>
        <w:t xml:space="preserve">WHEREAS, the amendment to Article VII, Section 6, Florida Constitution, approved November 3, 2026, is estimated to reduce revenue available to the City by approximately $15.7 million annually at full implementation [SOURCE: City of Largo]; and</w:t>
      </w:r>
    </w:p>
    <w:p>
      <w:r>
        <w:t xml:space="preserve">WHEREAS, the City Commission finds that the fees adopted here are charged in exchange for a particular service, benefit the payer in a manner not shared by other members of society, are paid by choice, and do not exceed the reasonable cost of providing the service [COUNSEL DETERMINATION: </w:t>
      </w:r>
      <w:r>
        <w:rPr>
          <w:i/>
          <w:iCs/>
        </w:rPr>
        <w:t xml:space="preserve">State v. City of Port Orange</w:t>
      </w:r>
      <w:r>
        <w:t xml:space="preserve">, 650 So. 2d 1 (Fla. 1994); </w:t>
      </w:r>
      <w:r>
        <w:rPr>
          <w:i/>
          <w:iCs/>
        </w:rPr>
        <w:t xml:space="preserve">City of Gainesville v. State</w:t>
      </w:r>
      <w:r>
        <w:t xml:space="preserve">, 863 So. 2d 138 (Fla. 2003); </w:t>
      </w:r>
      <w:r>
        <w:rPr>
          <w:i/>
          <w:iCs/>
        </w:rPr>
        <w:t xml:space="preserve">Contractors &amp; Builders Ass'n v. City of Dunedin</w:t>
      </w:r>
      <w:r>
        <w:t xml:space="preserve">, 329 So. 2d 314 (Fla. 1976)].</w:t>
      </w:r>
    </w:p>
    <w:p>
      <w:r>
        <w:t xml:space="preserve">NOW, THEREFORE, BE IT ORDAINED BY THE CITY COMMISSION OF THE CITY OF LARGO, FLORIDA:</w:t>
      </w:r>
    </w:p>
    <w:p>
      <w:r>
        <w:rPr>
          <w:b/>
          <w:bCs/>
        </w:rPr>
        <w:t xml:space="preserve">SECTION 1. FINDINGS.</w:t>
      </w:r>
      <w:r>
        <w:t xml:space="preserve"> The recitals are adopted as findings, based on the Study.</w:t>
      </w:r>
    </w:p>
    <w:p>
      <w:r>
        <w:rPr>
          <w:b/>
          <w:bCs/>
        </w:rPr>
        <w:t xml:space="preserve">SECTION 2. COST RECOVERY POLICY.</w:t>
      </w:r>
      <w:r>
        <w:t xml:space="preserve"> Each service is assigned to a tier: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41"/>
        <w:gridCol w:w="4011"/>
        <w:gridCol w:w="3708"/>
      </w:tblGrid>
      <w:tr>
        <w:trPr>
          <w:tblHeader/>
        </w:trPr>
        <w:tc>
          <w:tcPr>
            <w:tcW w:type="dxa" w:w="164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Tier</w:t>
            </w:r>
          </w:p>
        </w:tc>
        <w:tc>
          <w:tcPr>
            <w:tcW w:type="dxa" w:w="401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Description</w:t>
            </w:r>
          </w:p>
        </w:tc>
        <w:tc>
          <w:tcPr>
            <w:tcW w:type="dxa" w:w="3708"/>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Target share of cost paid by users</w:t>
            </w:r>
          </w:p>
        </w:tc>
      </w:tr>
      <w:tr>
        <w:trPr>
          <w:tblHeader w:val="off"/>
        </w:trPr>
        <w:tc>
          <w:tcPr>
            <w:tcW w:type="dxa" w:w="164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 Community benefit</w:t>
            </w:r>
          </w:p>
        </w:tc>
        <w:tc>
          <w:tcPr>
            <w:tcW w:type="dxa" w:w="4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Free or low-cost services open to all (e.g., park use, community events, youth drop-in)</w:t>
            </w:r>
          </w:p>
        </w:tc>
        <w:tc>
          <w:tcPr>
            <w:tcW w:type="dxa" w:w="37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0-25%</w:t>
            </w:r>
          </w:p>
        </w:tc>
      </w:tr>
      <w:tr>
        <w:trPr>
          <w:tblHeader w:val="off"/>
        </w:trPr>
        <w:tc>
          <w:tcPr>
            <w:tcW w:type="dxa" w:w="164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 Balanced</w:t>
            </w:r>
          </w:p>
        </w:tc>
        <w:tc>
          <w:tcPr>
            <w:tcW w:type="dxa" w:w="4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Youth programs, senior programs, general aquatics</w:t>
            </w:r>
          </w:p>
        </w:tc>
        <w:tc>
          <w:tcPr>
            <w:tcW w:type="dxa" w:w="37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25-75%</w:t>
            </w:r>
          </w:p>
        </w:tc>
      </w:tr>
      <w:tr>
        <w:trPr>
          <w:tblHeader w:val="off"/>
        </w:trPr>
        <w:tc>
          <w:tcPr>
            <w:tcW w:type="dxa" w:w="164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 Individual benefit</w:t>
            </w:r>
          </w:p>
        </w:tc>
        <w:tc>
          <w:tcPr>
            <w:tcW w:type="dxa" w:w="4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Adult classes and leagues, private lessons, tennis and pickleball courts</w:t>
            </w:r>
          </w:p>
        </w:tc>
        <w:tc>
          <w:tcPr>
            <w:tcW w:type="dxa" w:w="37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75-100%</w:t>
            </w:r>
          </w:p>
        </w:tc>
      </w:tr>
      <w:tr>
        <w:trPr>
          <w:tblHeader w:val="off"/>
        </w:trPr>
        <w:tc>
          <w:tcPr>
            <w:tcW w:type="dxa" w:w="164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 Premium</w:t>
            </w:r>
          </w:p>
        </w:tc>
        <w:tc>
          <w:tcPr>
            <w:tcW w:type="dxa" w:w="401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Private facility rentals, commercial events, Performing Arts Center rentals and ticketed events</w:t>
            </w:r>
          </w:p>
        </w:tc>
        <w:tc>
          <w:tcPr>
            <w:tcW w:type="dxa" w:w="370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Up to 100%, with any surplus limited to a modest amount</w:t>
            </w:r>
          </w:p>
        </w:tc>
      </w:tr>
    </w:tbl>
    <w:p/>
    <w:p>
      <w:r>
        <w:t xml:space="preserve">The assignment of each service is in Exhibit A. [The tier ranges are a policy choice for the Commission.]</w:t>
      </w:r>
    </w:p>
    <w:p>
      <w:r>
        <w:rPr>
          <w:b/>
          <w:bCs/>
        </w:rPr>
        <w:t xml:space="preserve">SECTION 3. FEE SCHEDULE.</w:t>
      </w:r>
      <w:r>
        <w:t xml:space="preserve"> The fees in </w:t>
      </w:r>
      <w:r>
        <w:rPr>
          <w:b/>
          <w:bCs/>
        </w:rPr>
        <w:t xml:space="preserve">Exhibit A</w:t>
      </w:r>
      <w:r>
        <w:t xml:space="preserve"> are adopted. Exhibit A lists for each fee: the service, unit, tier, resident rate, non-resident rate, current rate, proposed rate, and cost per unit from the Study.</w:t>
      </w:r>
    </w:p>
    <w:p>
      <w:r>
        <w:rPr>
          <w:b/>
          <w:bCs/>
        </w:rPr>
        <w:t xml:space="preserve">SECTION 4. PERFORMING ARTS CENTER.</w:t>
      </w:r>
      <w:r>
        <w:t xml:space="preserve"> (a) A facility fee of $[ ] per ticket is imposed on tickets sold for events at the Central Park Performing Arts Center, to be used for the Center's operation and upkeep. (b) Rental rates for the Tonne Playhouse, Parkview Room and Terrace, and Historic Largo Feed Store are set in Exhibit A. (c) The City Manager may enter sponsorship and naming agreements for the Center's spaces under [City policy], subject to Commission approval of agreements above $[ ].</w:t>
      </w:r>
    </w:p>
    <w:p>
      <w:r>
        <w:rPr>
          <w:b/>
          <w:bCs/>
        </w:rPr>
        <w:t xml:space="preserve">SECTION 5. ANNUAL ADJUSTMENT.</w:t>
      </w:r>
      <w:r>
        <w:t xml:space="preserve"> Fees in Exhibit A may be adjusted each October 1 by the change in the Consumer Price Index [series], not to exceed [ ]% in any year and not to exceed cost as shown in the most recent Study. [COUNSEL DETERMINATION: limits on delegation.]</w:t>
      </w:r>
    </w:p>
    <w:p>
      <w:r>
        <w:rPr>
          <w:b/>
          <w:bCs/>
        </w:rPr>
        <w:t xml:space="preserve">SECTION 6. WAIVERS AND ASSISTANCE.</w:t>
      </w:r>
      <w:r>
        <w:t xml:space="preserve"> The City Manager shall establish a fee assistance program for households with income at or below [ ]% of [area median income / federal poverty guidelines], funded from [donations, sponsorships, grants, and other non-ad valorem revenue]. Fee waivers for City-sponsored and nonprofit community events may be granted under [policy].</w:t>
      </w:r>
    </w:p>
    <w:p>
      <w:r>
        <w:rPr>
          <w:b/>
          <w:bCs/>
        </w:rPr>
        <w:t xml:space="preserve">SECTION 7. REVENUE USE.</w:t>
      </w:r>
      <w:r>
        <w:t xml:space="preserve"> Fee revenue under this Ordinance shall be deposited in the Recreation, Library and Cultural Arts Fund and used for the services in that Fund.</w:t>
      </w:r>
    </w:p>
    <w:p>
      <w:r>
        <w:rPr>
          <w:b/>
          <w:bCs/>
        </w:rPr>
        <w:t xml:space="preserve">SECTION 8. SEVERABILITY; CONFLICTS; CODIFICATION.</w:t>
      </w:r>
      <w:r>
        <w:t xml:space="preserve"> [Standard clauses.]</w:t>
      </w:r>
    </w:p>
    <w:p>
      <w:r>
        <w:rPr>
          <w:b/>
          <w:bCs/>
        </w:rPr>
        <w:t xml:space="preserve">SECTION 9. EFFECTIVE DATE.</w:t>
      </w:r>
      <w:r>
        <w:t xml:space="preserve"> This Ordinance takes effect October 1, [2027].</w:t>
      </w:r>
    </w:p>
    <w:p>
      <w:r>
        <w:t xml:space="preserve">PASSED ON FIRST READING [DATE]. PASSED AND ADOPTED ON SECOND READING [DATE]. [Signatures]</w:t>
      </w:r>
    </w:p>
    <w:p>
      <w:r>
        <w:rPr>
          <w:b/>
          <w:bCs/>
        </w:rPr>
        <w:t xml:space="preserve">Enactment:</w:t>
      </w:r>
      <w:r>
        <w:t xml:space="preserve"> s. 166.041 notice, two readings; business impact estimate (draft 09) unless exempt.</w:t>
      </w:r>
    </w:p>
    <w:p>
      <w:pPr>
        <w:pBdr>
          <w:bottom w:val="single" w:color="999999" w:sz="6" w:space="1"/>
        </w:pBdr>
      </w:pPr>
    </w:p>
    <w:p>
      <w:pPr>
        <w:pStyle w:val="Heading2"/>
      </w:pPr>
      <w:r>
        <w:t xml:space="preserve">Exhibit A: Fee schedule (to be completed from the Study)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82"/>
        <w:gridCol w:w="879"/>
        <w:gridCol w:w="517"/>
        <w:gridCol w:w="1396"/>
        <w:gridCol w:w="1447"/>
        <w:gridCol w:w="1654"/>
        <w:gridCol w:w="985"/>
      </w:tblGrid>
      <w:tr>
        <w:trPr>
          <w:tblHeader/>
        </w:trPr>
        <w:tc>
          <w:tcPr>
            <w:tcW w:type="dxa" w:w="248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Service</w:t>
            </w:r>
          </w:p>
        </w:tc>
        <w:tc>
          <w:tcPr>
            <w:tcW w:type="dxa" w:w="879"/>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Unit</w:t>
            </w:r>
          </w:p>
        </w:tc>
        <w:tc>
          <w:tcPr>
            <w:tcW w:type="dxa" w:w="517"/>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Tier</w:t>
            </w:r>
          </w:p>
        </w:tc>
        <w:tc>
          <w:tcPr>
            <w:tcW w:type="dxa" w:w="1396"/>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Current resident rate</w:t>
            </w:r>
          </w:p>
        </w:tc>
        <w:tc>
          <w:tcPr>
            <w:tcW w:type="dxa" w:w="1447"/>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Proposed resident rate</w:t>
            </w:r>
          </w:p>
        </w:tc>
        <w:tc>
          <w:tcPr>
            <w:tcW w:type="dxa" w:w="165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Proposed non-resident rate</w:t>
            </w:r>
          </w:p>
        </w:tc>
        <w:tc>
          <w:tcPr>
            <w:tcW w:type="dxa" w:w="985"/>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Cost per unit</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Highland Family Aquatic Center admission</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visit</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Aquatic passes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season</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Tennis/pickleball courts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hour</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Adult leagues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team</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Youth camps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week</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Pavilion rentals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4 hours</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Tonne Playhouse rental</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day</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Parkview Room rental</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4 hours</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Historic Largo Feed Store rental</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4 hours</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Performing Arts Center ticket facility fee</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ticket</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8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Performing Arts Center classes and camps</w:t>
            </w:r>
          </w:p>
        </w:tc>
        <w:tc>
          <w:tcPr>
            <w:tcW w:type="dxa" w:w="87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session</w:t>
            </w:r>
          </w:p>
        </w:tc>
        <w:tc>
          <w:tcPr>
            <w:tcW w:type="dxa" w:w="51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w:t>
            </w:r>
          </w:p>
        </w:tc>
        <w:tc>
          <w:tcPr>
            <w:tcW w:type="dxa" w:w="139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447"/>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65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98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bl>
    <w:p/>
    <w:p>
      <w:pPr>
        <w:pBdr>
          <w:bottom w:val="single" w:color="999999" w:sz="6" w:space="1"/>
        </w:pBdr>
      </w:pPr>
    </w:p>
    <w:p>
      <w:pPr>
        <w:pStyle w:val="Heading2"/>
      </w:pPr>
      <w:r>
        <w:t xml:space="preserve">Cost-of-Service Study: outline</w:t>
      </w:r>
    </w:p>
    <w:p>
      <w:r>
        <w:t xml:space="preserve">1. </w:t>
      </w:r>
      <w:r>
        <w:rPr>
          <w:b/>
          <w:bCs/>
        </w:rPr>
        <w:t xml:space="preserve">Services and units:</w:t>
      </w:r>
      <w:r>
        <w:t xml:space="preserve"> participants, visits, hours, rentals, tickets sold, by service, for FY 2024-25 and FY 2025-26.</w:t>
      </w:r>
    </w:p>
    <w:p>
      <w:r>
        <w:t xml:space="preserve">2. </w:t>
      </w:r>
      <w:r>
        <w:rPr>
          <w:b/>
          <w:bCs/>
        </w:rPr>
        <w:t xml:space="preserve">Full cost per service:</w:t>
      </w:r>
      <w:r>
        <w:t xml:space="preserve"> staff, operating, facility (utilities, maintenance, depreciation), and overhead from the City's cost allocation plan.</w:t>
      </w:r>
    </w:p>
    <w:p>
      <w:r>
        <w:t xml:space="preserve">3. </w:t>
      </w:r>
      <w:r>
        <w:rPr>
          <w:b/>
          <w:bCs/>
        </w:rPr>
        <w:t xml:space="preserve">Current revenue and cost recovery</w:t>
      </w:r>
      <w:r>
        <w:t xml:space="preserve"> by service; for the Performing Arts Center, separately for presented shows, rentals, education programs and the Foundation's contributions.</w:t>
      </w:r>
    </w:p>
    <w:p>
      <w:r>
        <w:t xml:space="preserve">4. </w:t>
      </w:r>
      <w:r>
        <w:rPr>
          <w:b/>
          <w:bCs/>
        </w:rPr>
        <w:t xml:space="preserve">Comparison</w:t>
      </w:r>
      <w:r>
        <w:t xml:space="preserve"> with nearby venues and cities (e.g., other Pinellas County municipal facilities and private providers).</w:t>
      </w:r>
    </w:p>
    <w:p>
      <w:r>
        <w:t xml:space="preserve">5. </w:t>
      </w:r>
      <w:r>
        <w:rPr>
          <w:b/>
          <w:bCs/>
        </w:rPr>
        <w:t xml:space="preserve">Proposed tier, rate and recovery</w:t>
      </w:r>
      <w:r>
        <w:t xml:space="preserve"> for each service, and how attendance might respond to price changes.</w:t>
      </w:r>
    </w:p>
    <w:p>
      <w:r>
        <w:t xml:space="preserve">6. </w:t>
      </w:r>
      <w:r>
        <w:rPr>
          <w:b/>
          <w:bCs/>
        </w:rPr>
        <w:t xml:space="preserve">Projected revenue,</w:t>
      </w:r>
      <w:r>
        <w:t xml:space="preserve"> net of assistance, and how much General Fund support it replaces.</w:t>
      </w:r>
    </w:p>
    <w:p>
      <w:r>
        <w:t xml:space="preserve">7. </w:t>
      </w:r>
      <w:r>
        <w:rPr>
          <w:b/>
          <w:bCs/>
        </w:rPr>
        <w:t xml:space="preserve">Equity review:</w:t>
      </w:r>
      <w:r>
        <w:t xml:space="preserve"> who pays, effect on youth and lower-income users, and how assistance offsets it.</w:t>
      </w:r>
    </w:p>
    <w:p>
      <w:r>
        <w:t xml:space="preserve">8. </w:t>
      </w:r>
      <w:r>
        <w:rPr>
          <w:b/>
          <w:bCs/>
        </w:rPr>
        <w:t xml:space="preserve">Performing Arts Center options:</w:t>
      </w:r>
      <w:r>
        <w:t xml:space="preserve"> City-run in the no-property-tax fund versus a management agreement with the Central Park Performing Arts Foundation or another nonprofit, including tourist development tax eligibility (s. 125.0104(5)(a)1.) [COUNSEL DETERMINATION].</w:t>
      </w:r>
    </w:p>
    <w:p>
      <w:r>
        <w:rPr>
          <w:b/>
          <w:bCs/>
        </w:rPr>
        <w:t xml:space="preserve">Library fees</w:t>
      </w:r>
      <w:r>
        <w:t xml:space="preserve"> are not included. State aid to public libraries and the Pinellas Public Library Cooperative agreement may limit fees for library service. [COUNSEL DETERMINATION before adding any library fee.]</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08 Recreation Cultural Arts and Facility Fee Ordinance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2026-11-04T20:15:33.553Z</dcterms:created>
  <dcterms:modified xsi:type="dcterms:W3CDTF">2026-11-04T20:15:33.553Z</dcterms:modified>
</cp:coreProperties>
</file>

<file path=docProps/custom.xml><?xml version="1.0" encoding="utf-8"?>
<Properties xmlns="http://schemas.openxmlformats.org/officeDocument/2006/custom-properties" xmlns:vt="http://schemas.openxmlformats.org/officeDocument/2006/docPropsVTypes"/>
</file>