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highlight w:val="yellow"/>
        </w:rPr>
        <w:t>INDEPENDENT DEMONSTRATION. Drafted by an AI skill in a simulated conversation, using only public records, to show how the Florida Amendment 3 revenue skill works (amendment3.macrify.me). Not prepared by, for, or with the City of Largo, and not reviewed or endorsed by it. Not legal advice. The "resident" in these drafts is the role played in the demonstration.</w:t>
      </w:r>
    </w:p>
    <w:p>
      <w:pPr>
        <w:pStyle w:val="Heading1"/>
      </w:pPr>
      <w:r>
        <w:t xml:space="preserve">RESOLUTION NO. [____]</w:t>
      </w:r>
    </w:p>
    <w:p>
      <w:pPr>
        <w:pBdr>
          <w:left w:val="single" w:color="E0A800" w:sz="18" w:space="8"/>
        </w:pBdr>
        <w:shd w:fill="FFF4D6" w:color="auto" w:val="clear"/>
        <w:spacing w:after="200"/>
      </w:pPr>
      <w:r>
        <w:rPr>
          <w:b/>
          <w:bCs/>
        </w:rPr>
        <w:t xml:space="preserve">Plain-language summary.</w:t>
      </w:r>
      <w:r>
        <w:t xml:space="preserve"> This resolution proposes the first year's fire assessment amounts, sets the highest rate that can be charged later without new mailed notice, and schedules the public hearing. It also directs staff to mail a notice to every owner showing their own amount. Adopted around June-July 2027.</w:t>
      </w:r>
    </w:p>
    <w:p>
      <w:r>
        <w:t xml:space="preserve">A RESOLUTION OF THE CITY COMMISSION OF THE CITY OF LARGO, FLORIDA, RELATING TO THE PROVISION OF FIRE RESCUE SERVICES; DESCRIBING THE METHOD OF ASSESSING THE FIRE RESCUE ASSESSED COST AGAINST SPECIALLY BENEFITED REAL PROPERTY; DETERMINING THE ASSESSED COST AND THE PROPOSED ASSESSMENTS FOR FISCAL YEAR 2027-28; ESTABLISHING THE MAXIMUM ASSESSMENT RATE; DIRECTING PREPARATION OF THE PRELIMINARY ASSESSMENT ROLL; SETTING A PUBLIC HEARING; DIRECTING NOTICE; AND PROVIDING AN EFFECTIVE DATE.</w:t>
      </w:r>
    </w:p>
    <w:p>
      <w:r>
        <w:t xml:space="preserve">WHEREAS, Ordinance No. [____] (the "Assessment Ordinance") authorizes the imposition of fire rescue assessments; and</w:t>
      </w:r>
    </w:p>
    <w:p>
      <w:r>
        <w:t xml:space="preserve">WHEREAS, the City Commission has received and reviewed the [Largo Fire Rescue Assessment Methodology Report] dated [DATE] (the "Report"), which is incorporated into this Resolution; and</w:t>
      </w:r>
    </w:p>
    <w:p>
      <w:r>
        <w:t xml:space="preserve">WHEREAS, the amendment to Article VII, Section 6, Florida Constitution, is estimated to reduce revenue available to the City by approximately $15.7 million annually at full implementation [SOURCE: City of Largo].</w:t>
      </w:r>
    </w:p>
    <w:p>
      <w:r>
        <w:t xml:space="preserve">NOW, THEREFORE, BE IT RESOLVED BY THE CITY COMMISSION OF THE CITY OF LARGO, FLORIDA:</w:t>
      </w:r>
    </w:p>
    <w:p>
      <w:r>
        <w:rPr>
          <w:b/>
          <w:bCs/>
        </w:rPr>
        <w:t xml:space="preserve">SECTION 1. AUTHORITY AND DEFINITIONS.</w:t>
      </w:r>
      <w:r>
        <w:t xml:space="preserve"> This Resolution is adopted under the Assessment Ordinance. Terms have the meanings given there.</w:t>
      </w:r>
    </w:p>
    <w:p>
      <w:r>
        <w:rPr>
          <w:b/>
          <w:bCs/>
        </w:rPr>
        <w:t xml:space="preserve">SECTION 2. FINDINGS.</w:t>
      </w:r>
      <w:r>
        <w:t xml:space="preserve"> Based on the Report and the record, the City Commission finds:</w:t>
      </w:r>
    </w:p>
    <w:p>
      <w:r>
        <w:t xml:space="preserve">(a) Special benefit: [findings from Report §4]. [COUNSEL DETERMINATION]</w:t>
      </w:r>
    </w:p>
    <w:p>
      <w:r>
        <w:t xml:space="preserve">(b) Fair and reasonable apportionment: [findings from Report §6]. [COUNSEL DETERMINATION]</w:t>
      </w:r>
    </w:p>
    <w:p>
      <w:r>
        <w:t xml:space="preserve">(c) The Assessed Cost excludes the cost of emergency medical services and other non-assessable costs, as shown in Report §5.</w:t>
      </w:r>
    </w:p>
    <w:p>
      <w:r>
        <w:rPr>
          <w:b/>
          <w:bCs/>
        </w:rPr>
        <w:t xml:space="preserve">SECTION 3. ASSESSED COST.</w:t>
      </w:r>
      <w:r>
        <w:t xml:space="preserve"> The Assessed Cost for Fiscal Year 2027-28 is $[AMOUNT], computed in Report §5. The assessments proposed below fund [ ]% of the Assessed Cost.</w:t>
      </w:r>
    </w:p>
    <w:p>
      <w:r>
        <w:rPr>
          <w:b/>
          <w:bCs/>
        </w:rPr>
        <w:t xml:space="preserve">SECTION 4. APPORTIONMENT AND RATES.</w:t>
      </w:r>
      <w:r>
        <w:t xml:space="preserve"> The Assessed Cost is apportioned among the Property Use Categories, and the proposed annual assessments are: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49"/>
        <w:gridCol w:w="3674"/>
        <w:gridCol w:w="1662"/>
        <w:gridCol w:w="1575"/>
      </w:tblGrid>
      <w:tr>
        <w:trPr>
          <w:tblHeader/>
        </w:trPr>
        <w:tc>
          <w:tcPr>
            <w:tcW w:type="dxa" w:w="2449"/>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Property Use Category</w:t>
            </w:r>
          </w:p>
        </w:tc>
        <w:tc>
          <w:tcPr>
            <w:tcW w:type="dxa" w:w="3674"/>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Billing unit</w:t>
            </w:r>
          </w:p>
        </w:tc>
        <w:tc>
          <w:tcPr>
            <w:tcW w:type="dxa" w:w="1662"/>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Proposed rate</w:t>
            </w:r>
          </w:p>
        </w:tc>
        <w:tc>
          <w:tcPr>
            <w:tcW w:type="dxa" w:w="1575"/>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Maximum rate</w:t>
            </w:r>
          </w:p>
        </w:tc>
      </w:tr>
      <w:tr>
        <w:trPr>
          <w:tblHeader w:val="off"/>
        </w:trPr>
        <w:tc>
          <w:tcPr>
            <w:tcW w:type="dxa" w:w="244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Residential</w:t>
            </w:r>
          </w:p>
        </w:tc>
        <w:tc>
          <w:tcPr>
            <w:tcW w:type="dxa" w:w="367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 dwelling unit</w:t>
            </w:r>
          </w:p>
        </w:tc>
        <w:tc>
          <w:tcPr>
            <w:tcW w:type="dxa" w:w="166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57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r>
      <w:tr>
        <w:trPr>
          <w:tblHeader w:val="off"/>
        </w:trPr>
        <w:tc>
          <w:tcPr>
            <w:tcW w:type="dxa" w:w="244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Commercial</w:t>
            </w:r>
          </w:p>
        </w:tc>
        <w:tc>
          <w:tcPr>
            <w:tcW w:type="dxa" w:w="367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 building, by sq ft tier [ranges]</w:t>
            </w:r>
          </w:p>
        </w:tc>
        <w:tc>
          <w:tcPr>
            <w:tcW w:type="dxa" w:w="166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57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r>
      <w:tr>
        <w:trPr>
          <w:tblHeader w:val="off"/>
        </w:trPr>
        <w:tc>
          <w:tcPr>
            <w:tcW w:type="dxa" w:w="244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Industrial / Warehouse</w:t>
            </w:r>
          </w:p>
        </w:tc>
        <w:tc>
          <w:tcPr>
            <w:tcW w:type="dxa" w:w="367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 building, by sq ft tier [ranges]</w:t>
            </w:r>
          </w:p>
        </w:tc>
        <w:tc>
          <w:tcPr>
            <w:tcW w:type="dxa" w:w="166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57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r>
      <w:tr>
        <w:trPr>
          <w:tblHeader w:val="off"/>
        </w:trPr>
        <w:tc>
          <w:tcPr>
            <w:tcW w:type="dxa" w:w="244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Institutional</w:t>
            </w:r>
          </w:p>
        </w:tc>
        <w:tc>
          <w:tcPr>
            <w:tcW w:type="dxa" w:w="367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 building, by sq ft tier [ranges]</w:t>
            </w:r>
          </w:p>
        </w:tc>
        <w:tc>
          <w:tcPr>
            <w:tcW w:type="dxa" w:w="166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57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r>
      <w:tr>
        <w:trPr>
          <w:tblHeader w:val="off"/>
        </w:trPr>
        <w:tc>
          <w:tcPr>
            <w:tcW w:type="dxa" w:w="244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Vacant / Agricultural</w:t>
            </w:r>
          </w:p>
        </w:tc>
        <w:tc>
          <w:tcPr>
            <w:tcW w:type="dxa" w:w="367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 parcel</w:t>
            </w:r>
          </w:p>
        </w:tc>
        <w:tc>
          <w:tcPr>
            <w:tcW w:type="dxa" w:w="166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575"/>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r>
    </w:tbl>
    <w:p/>
    <w:p>
      <w:r>
        <w:rPr>
          <w:b/>
          <w:bCs/>
        </w:rPr>
        <w:t xml:space="preserve">SECTION 5. EXEMPTIONS AND BUY-DOWNS.</w:t>
      </w:r>
      <w:r>
        <w:t xml:space="preserve"> [e.g., "Government Property is exempt. The City shall pay from [General Fund revenue other than the assessment] $[ ], representing the assessments allocable to Institutional Property."] [COUNSEL DETERMINATION]</w:t>
      </w:r>
    </w:p>
    <w:p>
      <w:r>
        <w:rPr>
          <w:b/>
          <w:bCs/>
        </w:rPr>
        <w:t xml:space="preserve">SECTION 6. PRELIMINARY ASSESSMENT ROLL.</w:t>
      </w:r>
      <w:r>
        <w:t xml:space="preserve"> The City Manager shall prepare a preliminary Assessment Roll listing each Parcel, its Owner, Property Use Category, billing units, and proposed assessment, and make it available for public inspection at [LOCATION/URL] by [DATE].</w:t>
      </w:r>
    </w:p>
    <w:p>
      <w:r>
        <w:rPr>
          <w:b/>
          <w:bCs/>
        </w:rPr>
        <w:t xml:space="preserve">SECTION 7. PUBLIC HEARING.</w:t>
      </w:r>
      <w:r>
        <w:t xml:space="preserve"> A public hearing will be held on [DATE, between January 1 and September 15, 2027] at [TIME] at [City Hall Commission Chambers, ADDRESS] to receive written objections and testimony and to consider adoption of the Final Assessment Resolution.</w:t>
      </w:r>
    </w:p>
    <w:p>
      <w:r>
        <w:rPr>
          <w:b/>
          <w:bCs/>
        </w:rPr>
        <w:t xml:space="preserve">SECTION 8. NOTICE.</w:t>
      </w:r>
      <w:r>
        <w:t xml:space="preserve"> The City Manager shall publish notice and mail first-class notice to each Owner at least 20 days before the hearing, substantially in the forms attached as Exhibits B and C (draft 11), containing the information required by Section 197.3632(4)(b), Florida Statutes.</w:t>
      </w:r>
    </w:p>
    <w:p>
      <w:r>
        <w:rPr>
          <w:b/>
          <w:bCs/>
        </w:rPr>
        <w:t xml:space="preserve">SECTION 9. EFFECTIVE DATE.</w:t>
      </w:r>
      <w:r>
        <w:t xml:space="preserve"> This Resolution takes effect immediately upon adoption.</w:t>
      </w:r>
    </w:p>
    <w:p>
      <w:r>
        <w:t xml:space="preserve">ADOPTED [DATE]. [Signatures / attestation / approved as to form]</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10 Initial Assessment Resolution  |  Page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C00000"/>
        <w:sz w:val="16"/>
        <w:szCs w:val="16"/>
      </w:rPr>
      <w:t xml:space="preserve">DRAFT for City Attorney review. Citizen-prepared. Not legal advice. 2026-11-04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240"/>
      <w:outlineLvl w:val="0"/>
    </w:pPr>
    <w:rPr>
      <w:rFonts w:ascii="Calibri" w:cs="Calibri" w:eastAsia="Calibri" w:hAnsi="Calibri"/>
      <w:b/>
      <w:bCs/>
      <w:color w:val="1F3864"/>
      <w:sz w:val="30"/>
      <w:szCs w:val="30"/>
    </w:rPr>
  </w:style>
  <w:style w:type="paragraph" w:styleId="Heading2">
    <w:name w:val="Heading 2"/>
    <w:basedOn w:val="Normal"/>
    <w:next w:val="Normal"/>
    <w:qFormat/>
    <w:pPr>
      <w:keepNext/>
      <w:spacing w:after="120" w:before="240"/>
      <w:outlineLvl w:val="1"/>
    </w:pPr>
    <w:rPr>
      <w:rFonts w:ascii="Calibri" w:cs="Calibri" w:eastAsia="Calibri" w:hAnsi="Calibri"/>
      <w:b/>
      <w:bCs/>
      <w:color w:val="1F3864"/>
      <w:sz w:val="26"/>
      <w:szCs w:val="26"/>
    </w:rPr>
  </w:style>
  <w:style w:type="paragraph" w:styleId="Heading3">
    <w:name w:val="Heading 3"/>
    <w:basedOn w:val="Normal"/>
    <w:next w:val="Normal"/>
    <w:qFormat/>
    <w:pPr>
      <w:keepNext/>
      <w:spacing w:after="100" w:before="200"/>
      <w:outlineLvl w:val="2"/>
    </w:pPr>
    <w:rPr>
      <w:rFonts w:ascii="Calibri" w:cs="Calibri" w:eastAsia="Calibri" w:hAnsi="Calibri"/>
      <w:b/>
      <w:bCs/>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2026-11-04T20:15:33.576Z</dcterms:created>
  <dcterms:modified xsi:type="dcterms:W3CDTF">2026-11-04T20:15:33.576Z</dcterms:modified>
</cp:coreProperties>
</file>

<file path=docProps/custom.xml><?xml version="1.0" encoding="utf-8"?>
<Properties xmlns="http://schemas.openxmlformats.org/officeDocument/2006/custom-properties" xmlns:vt="http://schemas.openxmlformats.org/officeDocument/2006/docPropsVTypes"/>
</file>