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highlight w:val="yellow"/>
        </w:rPr>
        <w:t>INDEPENDENT DEMONSTRATION. Drafted by an AI skill in a simulated conversation, using only public records, to show how the Florida Amendment 3 revenue skill works (amendment3.macrify.me). Not prepared by, for, or with the City of Largo, and not reviewed or endorsed by it. Not legal advice. The "resident" in these drafts is the role played in the demonstration.</w:t>
      </w:r>
    </w:p>
    <w:p>
      <w:pPr>
        <w:pStyle w:val="Heading1"/>
      </w:pPr>
      <w:r>
        <w:t xml:space="preserve">Agenda Memo and Public FAQ</w:t>
      </w:r>
    </w:p>
    <w:p>
      <w:pPr>
        <w:pBdr>
          <w:left w:val="single" w:color="E0A800" w:sz="18" w:space="8"/>
        </w:pBdr>
        <w:shd w:fill="FFF4D6" w:color="auto" w:val="clear"/>
        <w:spacing w:after="200"/>
      </w:pPr>
      <w:r>
        <w:rPr>
          <w:b/>
          <w:bCs/>
        </w:rPr>
        <w:t xml:space="preserve">Plain-language summary.</w:t>
      </w:r>
      <w:r>
        <w:t xml:space="preserve"> A draft memo the City Manager could use to bring the first step (the resolution of intent) to the Commission, and a question-and-answer sheet for residents.</w:t>
      </w:r>
    </w:p>
    <w:p>
      <w:pPr>
        <w:pStyle w:val="Heading2"/>
      </w:pPr>
      <w:r>
        <w:t xml:space="preserve">A. Agenda memo</w:t>
      </w:r>
    </w:p>
    <w:p>
      <w:r>
        <w:rPr>
          <w:b/>
          <w:bCs/>
        </w:rPr>
        <w:t xml:space="preserve">To:</w:t>
      </w:r>
      <w:r>
        <w:t xml:space="preserve"> City Commission  </w:t>
      </w:r>
      <w:r>
        <w:rPr>
          <w:b/>
          <w:bCs/>
        </w:rPr>
        <w:t xml:space="preserve">From:</w:t>
      </w:r>
      <w:r>
        <w:t xml:space="preserve"> [City Manager / City Attorney]  </w:t>
      </w:r>
      <w:r>
        <w:rPr>
          <w:b/>
          <w:bCs/>
        </w:rPr>
        <w:t xml:space="preserve">Date:</w:t>
      </w:r>
      <w:r>
        <w:t xml:space="preserve"> [ ]</w:t>
      </w:r>
    </w:p>
    <w:p>
      <w:r>
        <w:rPr>
          <w:b/>
          <w:bCs/>
        </w:rPr>
        <w:t xml:space="preserve">Re:</w:t>
      </w:r>
      <w:r>
        <w:t xml:space="preserve"> Resolution of intent to use the uniform method for a possible fire rescue assessment; plan for replacing revenue reduced by Amendment 3</w:t>
      </w:r>
    </w:p>
    <w:p>
      <w:r>
        <w:rPr>
          <w:b/>
          <w:bCs/>
        </w:rPr>
        <w:t xml:space="preserve">Recommendation.</w:t>
      </w:r>
      <w:r>
        <w:t xml:space="preserve"> Adopt Resolution No. [____] stating the City's intent to use the uniform method of collecting a possible fire rescue assessment beginning with the November 2027 tax bill; direct staff to begin a fire assessment methodology study and a recreation and cultural arts cost-of-service study; authorize the attached letter to Pinellas County.</w:t>
      </w:r>
    </w:p>
    <w:p>
      <w:r>
        <w:rPr>
          <w:b/>
          <w:bCs/>
        </w:rPr>
        <w:t xml:space="preserve">Background.</w:t>
      </w:r>
      <w:r>
        <w:t xml:space="preserve"> Amendment 3 raises the non-school homestead exemption to $150,000 (2027) and $250,000 (2028). The City estimates a reduction of about $15.7 million a year at full implementation, about $10 million beginning in FY 2027-28, of which about $10.18 million is City General Fund and CRA revenue and about $5.9 million is County-administered EMS, fire and library funding [City of Largo]. The City's draft alternative budget identified up to 136 positions, two advanced life support units, half of library hours, and possible closure or transfer of the Highland Family Aquatic Center, tennis courts and the Central Park Performing Arts Center [news reports, Oct. 2026; cite the alternative budget].</w:t>
      </w:r>
    </w:p>
    <w:p>
      <w:r>
        <w:rPr>
          <w:b/>
          <w:bCs/>
        </w:rPr>
        <w:t xml:space="preserve">What this item does.</w:t>
      </w:r>
      <w:r>
        <w:t xml:space="preserve"> It keeps the option of a fire assessment on the November 2027 tax bill open. It does not impose any assessment or set any amount. If the City does not act before January 1, 2027 (or March 1 by agreement with the Property Appraiser and Tax Collector), the earliest a new assessment could be on the tax bill is November 2028.</w:t>
      </w:r>
    </w:p>
    <w:p>
      <w:r>
        <w:rPr>
          <w:b/>
          <w:bCs/>
        </w:rPr>
        <w:t xml:space="preserve">Revenue and who pays (illustration only).</w:t>
      </w:r>
      <w:r>
        <w:t xml:space="preserve"> A fire assessment raising about $5M to $10M a year would cost about $90 to $180 per home. A typical Largo homestead assessed under $250,000 saves about $479 a year in City property tax under Amendment 3 and would still come out about $300 to $390 ahead. Rentals, second homes and businesses get no exemption and would pay more. Real rates depend on the study.</w:t>
      </w:r>
    </w:p>
    <w:p>
      <w:r>
        <w:rPr>
          <w:b/>
          <w:bCs/>
        </w:rPr>
        <w:t xml:space="preserve">What it preserves.</w:t>
      </w:r>
      <w:r>
        <w:t xml:space="preserve"> [Services and positions on the alternative budget list that the revenue would keep.]</w:t>
      </w:r>
    </w:p>
    <w:p>
      <w:r>
        <w:rPr>
          <w:b/>
          <w:bCs/>
        </w:rPr>
        <w:t xml:space="preserve">Legal considerations.</w:t>
      </w:r>
      <w:r>
        <w:t xml:space="preserve"> A fire assessment must provide a special benefit to property and be fairly apportioned, on a record of competent, substantial evidence. Emergency medical service costs cannot be assessed. About 90% of Largo Fire Rescue calls are medical (2022 annual report), so separating fire costs is the key issue. [COUNSEL DETERMINATION]</w:t>
      </w:r>
    </w:p>
    <w:p>
      <w:r>
        <w:rPr>
          <w:b/>
          <w:bCs/>
        </w:rPr>
        <w:t xml:space="preserve">Timeline.</w:t>
      </w:r>
      <w:r>
        <w:t xml:space="preserve"> Plan memo §7.</w:t>
      </w:r>
    </w:p>
    <w:p>
      <w:r>
        <w:rPr>
          <w:b/>
          <w:bCs/>
        </w:rPr>
        <w:t xml:space="preserve">Alternatives.</w:t>
      </w:r>
      <w:r>
        <w:t xml:space="preserve"> Service reductions; a smaller assessment; a tax-rate increase on remaining taxable property; fees and cost recovery; or a combination (Plan memo §5).</w:t>
      </w:r>
    </w:p>
    <w:p>
      <w:r>
        <w:rPr>
          <w:b/>
          <w:bCs/>
        </w:rPr>
        <w:t xml:space="preserve">Attachments.</w:t>
      </w:r>
      <w:r>
        <w:t xml:space="preserve"> Draft resolution; notice of intent; letter to Pinellas County.</w:t>
      </w:r>
    </w:p>
    <w:p>
      <w:pPr>
        <w:pStyle w:val="Heading2"/>
      </w:pPr>
      <w:r>
        <w:t xml:space="preserve">B. Public FAQ</w:t>
      </w:r>
    </w:p>
    <w:p>
      <w:r>
        <w:rPr>
          <w:b/>
          <w:bCs/>
        </w:rPr>
        <w:t xml:space="preserve">Why is the City considering a fire assessment?</w:t>
      </w:r>
    </w:p>
    <w:p>
      <w:r>
        <w:t xml:space="preserve">Voters approved Amendment 3, which raises the homestead exemption. That lowers property tax bills for homeowners, and it also lowers the City's revenue by about $15.7 million a year. A fire assessment would help keep fire service and other programs at current levels.</w:t>
      </w:r>
    </w:p>
    <w:p>
      <w:r>
        <w:rPr>
          <w:b/>
          <w:bCs/>
        </w:rPr>
        <w:t xml:space="preserve">What would it cost me?</w:t>
      </w:r>
    </w:p>
    <w:p>
      <w:r>
        <w:t xml:space="preserve">Amounts are not set yet. To give a sense of scale: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8"/>
        <w:gridCol w:w="2932"/>
        <w:gridCol w:w="2121"/>
        <w:gridCol w:w="1499"/>
      </w:tblGrid>
      <w:tr>
        <w:trPr>
          <w:tblHeader/>
        </w:trPr>
        <w:tc>
          <w:tcPr>
            <w:tcW w:type="dxa" w:w="2808"/>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Example property</w:t>
            </w:r>
          </w:p>
        </w:tc>
        <w:tc>
          <w:tcPr>
            <w:tcW w:type="dxa" w:w="2932"/>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City property tax saved under Amendment 3</w:t>
            </w:r>
          </w:p>
        </w:tc>
        <w:tc>
          <w:tcPr>
            <w:tcW w:type="dxa" w:w="2121"/>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Illustrative fire assessment</w:t>
            </w:r>
          </w:p>
        </w:tc>
        <w:tc>
          <w:tcPr>
            <w:tcW w:type="dxa" w:w="1499"/>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Net</w:t>
            </w:r>
          </w:p>
        </w:tc>
      </w:tr>
      <w:tr>
        <w:trPr>
          <w:tblHeader w:val="off"/>
        </w:trPr>
        <w:tc>
          <w:tcPr>
            <w:tcW w:type="dxa" w:w="280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Typical homestead, assessed under $250k</w:t>
            </w:r>
          </w:p>
        </w:tc>
        <w:tc>
          <w:tcPr>
            <w:tcW w:type="dxa" w:w="293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$479</w:t>
            </w:r>
          </w:p>
        </w:tc>
        <w:tc>
          <w:tcPr>
            <w:tcW w:type="dxa" w:w="21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$90 to $180</w:t>
            </w:r>
          </w:p>
        </w:tc>
        <w:tc>
          <w:tcPr>
            <w:tcW w:type="dxa" w:w="149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$299 to $389 ahead</w:t>
            </w:r>
          </w:p>
        </w:tc>
      </w:tr>
      <w:tr>
        <w:trPr>
          <w:tblHeader w:val="off"/>
        </w:trPr>
        <w:tc>
          <w:tcPr>
            <w:tcW w:type="dxa" w:w="280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Typical homestead condo</w:t>
            </w:r>
          </w:p>
        </w:tc>
        <w:tc>
          <w:tcPr>
            <w:tcW w:type="dxa" w:w="293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$254</w:t>
            </w:r>
          </w:p>
        </w:tc>
        <w:tc>
          <w:tcPr>
            <w:tcW w:type="dxa" w:w="21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$90 to $180</w:t>
            </w:r>
          </w:p>
        </w:tc>
        <w:tc>
          <w:tcPr>
            <w:tcW w:type="dxa" w:w="149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$74 to $164 ahead</w:t>
            </w:r>
          </w:p>
        </w:tc>
      </w:tr>
      <w:tr>
        <w:trPr>
          <w:tblHeader w:val="off"/>
        </w:trPr>
        <w:tc>
          <w:tcPr>
            <w:tcW w:type="dxa" w:w="280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Typical rental house</w:t>
            </w:r>
          </w:p>
        </w:tc>
        <w:tc>
          <w:tcPr>
            <w:tcW w:type="dxa" w:w="293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w:t>
            </w:r>
          </w:p>
        </w:tc>
        <w:tc>
          <w:tcPr>
            <w:tcW w:type="dxa" w:w="21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$90 to $180</w:t>
            </w:r>
          </w:p>
        </w:tc>
        <w:tc>
          <w:tcPr>
            <w:tcW w:type="dxa" w:w="149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$90 to $180 more</w:t>
            </w:r>
          </w:p>
        </w:tc>
      </w:tr>
      <w:tr>
        <w:trPr>
          <w:tblHeader w:val="off"/>
        </w:trPr>
        <w:tc>
          <w:tcPr>
            <w:tcW w:type="dxa" w:w="280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Small shop (about 3,900 sq ft)</w:t>
            </w:r>
          </w:p>
        </w:tc>
        <w:tc>
          <w:tcPr>
            <w:tcW w:type="dxa" w:w="293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w:t>
            </w:r>
          </w:p>
        </w:tc>
        <w:tc>
          <w:tcPr>
            <w:tcW w:type="dxa" w:w="21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$290 to $580</w:t>
            </w:r>
          </w:p>
        </w:tc>
        <w:tc>
          <w:tcPr>
            <w:tcW w:type="dxa" w:w="149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$290 to $580 more</w:t>
            </w:r>
          </w:p>
        </w:tc>
      </w:tr>
    </w:tbl>
    <w:p/>
    <w:p>
      <w:r>
        <w:rPr>
          <w:b/>
          <w:bCs/>
        </w:rPr>
        <w:t xml:space="preserve">Doesn't my homestead exemption cover this?</w:t>
      </w:r>
    </w:p>
    <w:p>
      <w:r>
        <w:t xml:space="preserve">No. The constitution exempts homesteads from property taxes, but not from special assessments for services that benefit the property.</w:t>
      </w:r>
    </w:p>
    <w:p>
      <w:r>
        <w:rPr>
          <w:b/>
          <w:bCs/>
        </w:rPr>
        <w:t xml:space="preserve">Why a flat amount instead of one based on my home's value?</w:t>
      </w:r>
    </w:p>
    <w:p>
      <w:r>
        <w:t xml:space="preserve">Special assessments must be divided by the benefit each property receives, not by its value. The study will show how fire service demand differs between homes and businesses.</w:t>
      </w:r>
    </w:p>
    <w:p>
      <w:r>
        <w:rPr>
          <w:b/>
          <w:bCs/>
        </w:rPr>
        <w:t xml:space="preserve">Does it pay for ambulances?</w:t>
      </w:r>
    </w:p>
    <w:p>
      <w:r>
        <w:t xml:space="preserve">No. Emergency medical services cannot be paid for by a special assessment. The assessment would pay only for fire service.</w:t>
      </w:r>
    </w:p>
    <w:p>
      <w:r>
        <w:rPr>
          <w:b/>
          <w:bCs/>
        </w:rPr>
        <w:t xml:space="preserve">Will it go up?</w:t>
      </w:r>
    </w:p>
    <w:p>
      <w:r>
        <w:t xml:space="preserve">It cannot go above the maximum rate in the mailed notice without a new mailed notice and hearing.</w:t>
      </w:r>
    </w:p>
    <w:p>
      <w:r>
        <w:rPr>
          <w:b/>
          <w:bCs/>
        </w:rPr>
        <w:t xml:space="preserve">What happens to the Performing Arts Center, parks and the library?</w:t>
      </w:r>
    </w:p>
    <w:p>
      <w:r>
        <w:t xml:space="preserve">Under this plan, they would be paid for only from City money that is not property tax (fees, state revenue sharing, sales and utility taxes, grants and gifts), because Amendment 3 limits what property tax can pay for. The Commission will decide the details.</w:t>
      </w:r>
    </w:p>
    <w:p>
      <w:r>
        <w:rPr>
          <w:b/>
          <w:bCs/>
        </w:rPr>
        <w:t xml:space="preserve">What if I can't afford it?</w:t>
      </w:r>
    </w:p>
    <w:p>
      <w:r>
        <w:t xml:space="preserve">[Assistance program, if any, and how it is paid for.]</w:t>
      </w:r>
    </w:p>
    <w:p>
      <w:r>
        <w:rPr>
          <w:b/>
          <w:bCs/>
        </w:rPr>
        <w:t xml:space="preserve">How do I comment?</w:t>
      </w:r>
    </w:p>
    <w:p>
      <w:r>
        <w:t xml:space="preserve">Public hearing on [DATE]. You may also write to [ADDRESS/EMAIL]. Owners will receive a mailed notice with their own amount and may file written objections within 20 days of that notice.</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13 Agenda Memo and Public FAQ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C00000"/>
        <w:sz w:val="16"/>
        <w:szCs w:val="16"/>
      </w:rPr>
      <w:t xml:space="preserve">DRAFT for City Attorney review. Citizen-prepared. Not legal advice. 2026-11-04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240"/>
      <w:outlineLvl w:val="0"/>
    </w:pPr>
    <w:rPr>
      <w:rFonts w:ascii="Calibri" w:cs="Calibri" w:eastAsia="Calibri" w:hAnsi="Calibri"/>
      <w:b/>
      <w:bCs/>
      <w:color w:val="1F3864"/>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1F3864"/>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2026-11-04T20:15:33.615Z</dcterms:created>
  <dcterms:modified xsi:type="dcterms:W3CDTF">2026-11-04T20:15:33.615Z</dcterms:modified>
</cp:coreProperties>
</file>

<file path=docProps/custom.xml><?xml version="1.0" encoding="utf-8"?>
<Properties xmlns="http://schemas.openxmlformats.org/officeDocument/2006/custom-properties" xmlns:vt="http://schemas.openxmlformats.org/officeDocument/2006/docPropsVTypes"/>
</file>