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highlight w:val="yellow"/>
        </w:rPr>
        <w:t>INDEPENDENT DEMONSTRATION. Drafted by an AI skill in a simulated conversation, using only public records, to show how the Florida Amendment 3 revenue skill works (amendment3.macrify.me). Not prepared by, for, or with the City of Largo, and not reviewed or endorsed by it. Not legal advice. The "resident" in these drafts is the role played in the demonstration.</w:t>
      </w:r>
    </w:p>
    <w:p>
      <w:pPr>
        <w:pStyle w:val="Heading1"/>
      </w:pPr>
      <w:r>
        <w:t xml:space="preserve">Public Records Requests for the Amendment 3 Plan</w:t>
      </w:r>
    </w:p>
    <w:p>
      <w:pPr>
        <w:pBdr>
          <w:left w:val="single" w:color="E0A800" w:sz="18" w:space="8"/>
        </w:pBdr>
        <w:shd w:fill="FFF4D6" w:color="auto" w:val="clear"/>
        <w:spacing w:after="200"/>
      </w:pPr>
      <w:r>
        <w:rPr>
          <w:b/>
          <w:bCs/>
        </w:rPr>
        <w:t xml:space="preserve">Plain-language summary.</w:t>
      </w:r>
      <w:r>
        <w:t xml:space="preserve"> These are the numbers the plan still needs. As a resident, you can ask for existing City records under Florida's public records law (Chapter 119, Fla. Stat.). The City may charge for copying or for extensive staff time. Below is a ready-to-send request, and a table you or City staff can use to track what comes back.</w:t>
      </w:r>
    </w:p>
    <w:p>
      <w:pPr>
        <w:pStyle w:val="Heading2"/>
      </w:pPr>
      <w:r>
        <w:t xml:space="preserve">Request letter</w:t>
      </w:r>
    </w:p>
    <w:p>
      <w:r>
        <w:t xml:space="preserve">To: City of Largo, City Clerk / Public Records [ADDRESS/EMAIL]</w:t>
      </w:r>
    </w:p>
    <w:p>
      <w:r>
        <w:t xml:space="preserve">From: [Your name and contact]</w:t>
      </w:r>
    </w:p>
    <w:p>
      <w:r>
        <w:t xml:space="preserve">Date: [ ]</w:t>
      </w:r>
    </w:p>
    <w:p>
      <w:r>
        <w:t xml:space="preserve">Under Chapter 119, Florida Statutes, I request copies of the following existing public records, in electronic form where available. If any record does not exist, please say so. Please tell me in advance if fees will exceed $[ ].</w:t>
      </w:r>
    </w:p>
    <w:p>
      <w:r>
        <w:t xml:space="preserve">1. The FY 2026-27 adopted budget and the FY 2027-28 alternative (Amendment 3) budget, including the program-level detail and the list of proposed reductions with dollar amounts and positions.</w:t>
      </w:r>
    </w:p>
    <w:p>
      <w:r>
        <w:t xml:space="preserve">2. Any staff analysis, presentation or workpapers estimating the effect of Amendment 3 on City revenue, including the assumptions behind the $15.7 million estimate.</w:t>
      </w:r>
    </w:p>
    <w:p>
      <w:r>
        <w:t xml:space="preserve">3. FY 2025-26 actual and FY 2026-27 budgeted General Fund revenue by source.</w:t>
      </w:r>
    </w:p>
    <w:p>
      <w:r>
        <w:t xml:space="preserve">4. FY 2025-26 actual and FY 2026-27 budgeted expenditures and revenues of the Central Park Performing Arts Center, by activity (presented shows, rentals, education), with staffing.</w:t>
      </w:r>
    </w:p>
    <w:p>
      <w:r>
        <w:t xml:space="preserve">5. The same for the Library, Recreation, Parks and Arts (including Highland Family Aquatic Center and tennis), and Community Planning and Development.</w:t>
      </w:r>
    </w:p>
    <w:p>
      <w:r>
        <w:t xml:space="preserve">6. The current fee schedule for recreation, aquatics, tennis, facility rentals and the Performing Arts Center, and any cost recovery reports.</w:t>
      </w:r>
    </w:p>
    <w:p>
      <w:r>
        <w:t xml:space="preserve">7. Largo Fire Rescue incident data for calendar years 2022-2025 by call type (fire, medical, other) and property use, and any reports summarizing it.</w:t>
      </w:r>
    </w:p>
    <w:p>
      <w:r>
        <w:t xml:space="preserve">8. Any fire rescue cost allocation between fire and EMS, and the County EMS, unincorporated fire district, Belleair and Belleair Bluffs agreements and payments for FY 2025-26 and FY 2026-27.</w:t>
      </w:r>
    </w:p>
    <w:p>
      <w:r>
        <w:t xml:space="preserve">9. The Pinellas Public Library Cooperative agreement and any library grant terms limiting fees.</w:t>
      </w:r>
    </w:p>
    <w:p>
      <w:r>
        <w:t xml:space="preserve">10. Any agreement between the City and the Central Park Performing Arts Foundation.</w:t>
      </w:r>
    </w:p>
    <w:p>
      <w:r>
        <w:t xml:space="preserve">11. Any prior City study of a fire assessment or fire fee.</w:t>
      </w:r>
    </w:p>
    <w:p>
      <w:r>
        <w:t xml:space="preserve">12. Any correspondence with the Pinellas County Property Appraiser or Tax Collector about the uniform method or the January 1 / March 1 deadline.</w:t>
      </w:r>
    </w:p>
    <w:p>
      <w:r>
        <w:t xml:space="preserve">Thank you.</w:t>
      </w:r>
    </w:p>
    <w:p>
      <w:pPr>
        <w:pStyle w:val="Heading2"/>
      </w:pPr>
      <w:r>
        <w:t xml:space="preserve">Tracking table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94"/>
        <w:gridCol w:w="3054"/>
        <w:gridCol w:w="3251"/>
        <w:gridCol w:w="1970"/>
        <w:gridCol w:w="691"/>
      </w:tblGrid>
      <w:tr>
        <w:trPr>
          <w:tblHeader/>
        </w:trPr>
        <w:tc>
          <w:tcPr>
            <w:tcW w:type="dxa" w:w="394"/>
            <w:tcBorders>
              <w:top w:val="single" w:color="999999" w:sz="4"/>
              <w:left w:val="single" w:color="999999" w:sz="4"/>
              <w:bottom w:val="single" w:color="999999" w:sz="4"/>
              <w:right w:val="single" w:color="999999" w:sz="4"/>
            </w:tcBorders>
            <w:shd w:fill="DCE6F0" w:color="auto" w:val="clear"/>
            <w:tcMar>
              <w:top w:type="dxa" w:w="60"/>
              <w:left w:type="dxa" w:w="100"/>
              <w:bottom w:type="dxa" w:w="60"/>
              <w:right w:type="dxa" w:w="100"/>
            </w:tcMar>
          </w:tcPr>
          <w:p>
            <w:r>
              <w:rPr>
                <w:b/>
                <w:bCs/>
                <w:sz w:val="18"/>
                <w:szCs w:val="18"/>
              </w:rPr>
              <w:t xml:space="preserve">#</w:t>
            </w:r>
          </w:p>
        </w:tc>
        <w:tc>
          <w:tcPr>
            <w:tcW w:type="dxa" w:w="3054"/>
            <w:tcBorders>
              <w:top w:val="single" w:color="999999" w:sz="4"/>
              <w:left w:val="single" w:color="999999" w:sz="4"/>
              <w:bottom w:val="single" w:color="999999" w:sz="4"/>
              <w:right w:val="single" w:color="999999" w:sz="4"/>
            </w:tcBorders>
            <w:shd w:fill="DCE6F0" w:color="auto" w:val="clear"/>
            <w:tcMar>
              <w:top w:type="dxa" w:w="60"/>
              <w:left w:type="dxa" w:w="100"/>
              <w:bottom w:type="dxa" w:w="60"/>
              <w:right w:type="dxa" w:w="100"/>
            </w:tcMar>
          </w:tcPr>
          <w:p>
            <w:r>
              <w:rPr>
                <w:b/>
                <w:bCs/>
                <w:sz w:val="18"/>
                <w:szCs w:val="18"/>
              </w:rPr>
              <w:t xml:space="preserve">What we need</w:t>
            </w:r>
          </w:p>
        </w:tc>
        <w:tc>
          <w:tcPr>
            <w:tcW w:type="dxa" w:w="3251"/>
            <w:tcBorders>
              <w:top w:val="single" w:color="999999" w:sz="4"/>
              <w:left w:val="single" w:color="999999" w:sz="4"/>
              <w:bottom w:val="single" w:color="999999" w:sz="4"/>
              <w:right w:val="single" w:color="999999" w:sz="4"/>
            </w:tcBorders>
            <w:shd w:fill="DCE6F0" w:color="auto" w:val="clear"/>
            <w:tcMar>
              <w:top w:type="dxa" w:w="60"/>
              <w:left w:type="dxa" w:w="100"/>
              <w:bottom w:type="dxa" w:w="60"/>
              <w:right w:type="dxa" w:w="100"/>
            </w:tcMar>
          </w:tcPr>
          <w:p>
            <w:r>
              <w:rPr>
                <w:b/>
                <w:bCs/>
                <w:sz w:val="18"/>
                <w:szCs w:val="18"/>
              </w:rPr>
              <w:t xml:space="preserve">Why</w:t>
            </w:r>
          </w:p>
        </w:tc>
        <w:tc>
          <w:tcPr>
            <w:tcW w:type="dxa" w:w="1970"/>
            <w:tcBorders>
              <w:top w:val="single" w:color="999999" w:sz="4"/>
              <w:left w:val="single" w:color="999999" w:sz="4"/>
              <w:bottom w:val="single" w:color="999999" w:sz="4"/>
              <w:right w:val="single" w:color="999999" w:sz="4"/>
            </w:tcBorders>
            <w:shd w:fill="DCE6F0" w:color="auto" w:val="clear"/>
            <w:tcMar>
              <w:top w:type="dxa" w:w="60"/>
              <w:left w:type="dxa" w:w="100"/>
              <w:bottom w:type="dxa" w:w="60"/>
              <w:right w:type="dxa" w:w="100"/>
            </w:tcMar>
          </w:tcPr>
          <w:p>
            <w:r>
              <w:rPr>
                <w:b/>
                <w:bCs/>
                <w:sz w:val="18"/>
                <w:szCs w:val="18"/>
              </w:rPr>
              <w:t xml:space="preserve">Department</w:t>
            </w:r>
          </w:p>
        </w:tc>
        <w:tc>
          <w:tcPr>
            <w:tcW w:type="dxa" w:w="691"/>
            <w:tcBorders>
              <w:top w:val="single" w:color="999999" w:sz="4"/>
              <w:left w:val="single" w:color="999999" w:sz="4"/>
              <w:bottom w:val="single" w:color="999999" w:sz="4"/>
              <w:right w:val="single" w:color="999999" w:sz="4"/>
            </w:tcBorders>
            <w:shd w:fill="DCE6F0" w:color="auto" w:val="clear"/>
            <w:tcMar>
              <w:top w:type="dxa" w:w="60"/>
              <w:left w:type="dxa" w:w="100"/>
              <w:bottom w:type="dxa" w:w="60"/>
              <w:right w:type="dxa" w:w="100"/>
            </w:tcMar>
          </w:tcPr>
          <w:p>
            <w:r>
              <w:rPr>
                <w:b/>
                <w:bCs/>
                <w:sz w:val="18"/>
                <w:szCs w:val="18"/>
              </w:rPr>
              <w:t xml:space="preserve">Received</w:t>
            </w:r>
          </w:p>
        </w:tc>
      </w:tr>
      <w:tr>
        <w:trPr>
          <w:tblHeader w:val="off"/>
        </w:trPr>
        <w:tc>
          <w:tcPr>
            <w:tcW w:type="dxa" w:w="394"/>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1</w:t>
            </w:r>
          </w:p>
        </w:tc>
        <w:tc>
          <w:tcPr>
            <w:tcW w:type="dxa" w:w="3054"/>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Alternative budget detail</w:t>
            </w:r>
          </w:p>
        </w:tc>
        <w:tc>
          <w:tcPr>
            <w:tcW w:type="dxa" w:w="3251"/>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Program costs and cut list for the packages</w:t>
            </w:r>
          </w:p>
        </w:tc>
        <w:tc>
          <w:tcPr>
            <w:tcW w:type="dxa" w:w="197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Finance / Budget</w:t>
            </w:r>
          </w:p>
        </w:tc>
        <w:tc>
          <w:tcPr>
            <w:tcW w:type="dxa" w:w="691"/>
            <w:tcBorders>
              <w:top w:val="single" w:color="999999" w:sz="4"/>
              <w:left w:val="single" w:color="999999" w:sz="4"/>
              <w:bottom w:val="single" w:color="999999" w:sz="4"/>
              <w:right w:val="single" w:color="999999" w:sz="4"/>
            </w:tcBorders>
            <w:tcMar>
              <w:top w:type="dxa" w:w="60"/>
              <w:left w:type="dxa" w:w="100"/>
              <w:bottom w:type="dxa" w:w="60"/>
              <w:right w:type="dxa" w:w="100"/>
            </w:tcMar>
          </w:tcPr>
          <w:p/>
        </w:tc>
      </w:tr>
      <w:tr>
        <w:trPr>
          <w:tblHeader w:val="off"/>
        </w:trPr>
        <w:tc>
          <w:tcPr>
            <w:tcW w:type="dxa" w:w="394"/>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2</w:t>
            </w:r>
          </w:p>
        </w:tc>
        <w:tc>
          <w:tcPr>
            <w:tcW w:type="dxa" w:w="3054"/>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City's Amendment 3 estimate workpapers</w:t>
            </w:r>
          </w:p>
        </w:tc>
        <w:tc>
          <w:tcPr>
            <w:tcW w:type="dxa" w:w="3251"/>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Reconcile with the independent estimate</w:t>
            </w:r>
          </w:p>
        </w:tc>
        <w:tc>
          <w:tcPr>
            <w:tcW w:type="dxa" w:w="197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Finance</w:t>
            </w:r>
          </w:p>
        </w:tc>
        <w:tc>
          <w:tcPr>
            <w:tcW w:type="dxa" w:w="691"/>
            <w:tcBorders>
              <w:top w:val="single" w:color="999999" w:sz="4"/>
              <w:left w:val="single" w:color="999999" w:sz="4"/>
              <w:bottom w:val="single" w:color="999999" w:sz="4"/>
              <w:right w:val="single" w:color="999999" w:sz="4"/>
            </w:tcBorders>
            <w:tcMar>
              <w:top w:type="dxa" w:w="60"/>
              <w:left w:type="dxa" w:w="100"/>
              <w:bottom w:type="dxa" w:w="60"/>
              <w:right w:type="dxa" w:w="100"/>
            </w:tcMar>
          </w:tcPr>
          <w:p/>
        </w:tc>
      </w:tr>
      <w:tr>
        <w:trPr>
          <w:tblHeader w:val="off"/>
        </w:trPr>
        <w:tc>
          <w:tcPr>
            <w:tcW w:type="dxa" w:w="394"/>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3</w:t>
            </w:r>
          </w:p>
        </w:tc>
        <w:tc>
          <w:tcPr>
            <w:tcW w:type="dxa" w:w="3054"/>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General Fund revenue by source</w:t>
            </w:r>
          </w:p>
        </w:tc>
        <w:tc>
          <w:tcPr>
            <w:tcW w:type="dxa" w:w="3251"/>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Whether non-property-tax revenue can fully pay for parks, recreation, library and the Performing Arts Center (draft 03)</w:t>
            </w:r>
          </w:p>
        </w:tc>
        <w:tc>
          <w:tcPr>
            <w:tcW w:type="dxa" w:w="197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Finance</w:t>
            </w:r>
          </w:p>
        </w:tc>
        <w:tc>
          <w:tcPr>
            <w:tcW w:type="dxa" w:w="691"/>
            <w:tcBorders>
              <w:top w:val="single" w:color="999999" w:sz="4"/>
              <w:left w:val="single" w:color="999999" w:sz="4"/>
              <w:bottom w:val="single" w:color="999999" w:sz="4"/>
              <w:right w:val="single" w:color="999999" w:sz="4"/>
            </w:tcBorders>
            <w:tcMar>
              <w:top w:type="dxa" w:w="60"/>
              <w:left w:type="dxa" w:w="100"/>
              <w:bottom w:type="dxa" w:w="60"/>
              <w:right w:type="dxa" w:w="100"/>
            </w:tcMar>
          </w:tcPr>
          <w:p/>
        </w:tc>
      </w:tr>
      <w:tr>
        <w:trPr>
          <w:tblHeader w:val="off"/>
        </w:trPr>
        <w:tc>
          <w:tcPr>
            <w:tcW w:type="dxa" w:w="394"/>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4</w:t>
            </w:r>
          </w:p>
        </w:tc>
        <w:tc>
          <w:tcPr>
            <w:tcW w:type="dxa" w:w="3054"/>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Performing Arts Center cost and revenue</w:t>
            </w:r>
          </w:p>
        </w:tc>
        <w:tc>
          <w:tcPr>
            <w:tcW w:type="dxa" w:w="3251"/>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Size the gap to close for the Center</w:t>
            </w:r>
          </w:p>
        </w:tc>
        <w:tc>
          <w:tcPr>
            <w:tcW w:type="dxa" w:w="197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Recreation, Parks &amp; Arts</w:t>
            </w:r>
          </w:p>
        </w:tc>
        <w:tc>
          <w:tcPr>
            <w:tcW w:type="dxa" w:w="691"/>
            <w:tcBorders>
              <w:top w:val="single" w:color="999999" w:sz="4"/>
              <w:left w:val="single" w:color="999999" w:sz="4"/>
              <w:bottom w:val="single" w:color="999999" w:sz="4"/>
              <w:right w:val="single" w:color="999999" w:sz="4"/>
            </w:tcBorders>
            <w:tcMar>
              <w:top w:type="dxa" w:w="60"/>
              <w:left w:type="dxa" w:w="100"/>
              <w:bottom w:type="dxa" w:w="60"/>
              <w:right w:type="dxa" w:w="100"/>
            </w:tcMar>
          </w:tcPr>
          <w:p/>
        </w:tc>
      </w:tr>
      <w:tr>
        <w:trPr>
          <w:tblHeader w:val="off"/>
        </w:trPr>
        <w:tc>
          <w:tcPr>
            <w:tcW w:type="dxa" w:w="394"/>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5</w:t>
            </w:r>
          </w:p>
        </w:tc>
        <w:tc>
          <w:tcPr>
            <w:tcW w:type="dxa" w:w="3054"/>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Library, recreation, community development costs</w:t>
            </w:r>
          </w:p>
        </w:tc>
        <w:tc>
          <w:tcPr>
            <w:tcW w:type="dxa" w:w="3251"/>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Same, for other programs</w:t>
            </w:r>
          </w:p>
        </w:tc>
        <w:tc>
          <w:tcPr>
            <w:tcW w:type="dxa" w:w="197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Finance</w:t>
            </w:r>
          </w:p>
        </w:tc>
        <w:tc>
          <w:tcPr>
            <w:tcW w:type="dxa" w:w="691"/>
            <w:tcBorders>
              <w:top w:val="single" w:color="999999" w:sz="4"/>
              <w:left w:val="single" w:color="999999" w:sz="4"/>
              <w:bottom w:val="single" w:color="999999" w:sz="4"/>
              <w:right w:val="single" w:color="999999" w:sz="4"/>
            </w:tcBorders>
            <w:tcMar>
              <w:top w:type="dxa" w:w="60"/>
              <w:left w:type="dxa" w:w="100"/>
              <w:bottom w:type="dxa" w:w="60"/>
              <w:right w:type="dxa" w:w="100"/>
            </w:tcMar>
          </w:tcPr>
          <w:p/>
        </w:tc>
      </w:tr>
      <w:tr>
        <w:trPr>
          <w:tblHeader w:val="off"/>
        </w:trPr>
        <w:tc>
          <w:tcPr>
            <w:tcW w:type="dxa" w:w="394"/>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6</w:t>
            </w:r>
          </w:p>
        </w:tc>
        <w:tc>
          <w:tcPr>
            <w:tcW w:type="dxa" w:w="3054"/>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Fee schedule and cost recovery</w:t>
            </w:r>
          </w:p>
        </w:tc>
        <w:tc>
          <w:tcPr>
            <w:tcW w:type="dxa" w:w="3251"/>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Fee ordinance (draft 08)</w:t>
            </w:r>
          </w:p>
        </w:tc>
        <w:tc>
          <w:tcPr>
            <w:tcW w:type="dxa" w:w="197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Recreation, Parks &amp; Arts</w:t>
            </w:r>
          </w:p>
        </w:tc>
        <w:tc>
          <w:tcPr>
            <w:tcW w:type="dxa" w:w="691"/>
            <w:tcBorders>
              <w:top w:val="single" w:color="999999" w:sz="4"/>
              <w:left w:val="single" w:color="999999" w:sz="4"/>
              <w:bottom w:val="single" w:color="999999" w:sz="4"/>
              <w:right w:val="single" w:color="999999" w:sz="4"/>
            </w:tcBorders>
            <w:tcMar>
              <w:top w:type="dxa" w:w="60"/>
              <w:left w:type="dxa" w:w="100"/>
              <w:bottom w:type="dxa" w:w="60"/>
              <w:right w:type="dxa" w:w="100"/>
            </w:tcMar>
          </w:tcPr>
          <w:p/>
        </w:tc>
      </w:tr>
      <w:tr>
        <w:trPr>
          <w:tblHeader w:val="off"/>
        </w:trPr>
        <w:tc>
          <w:tcPr>
            <w:tcW w:type="dxa" w:w="394"/>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7</w:t>
            </w:r>
          </w:p>
        </w:tc>
        <w:tc>
          <w:tcPr>
            <w:tcW w:type="dxa" w:w="3054"/>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Fire incident data</w:t>
            </w:r>
          </w:p>
        </w:tc>
        <w:tc>
          <w:tcPr>
            <w:tcW w:type="dxa" w:w="3251"/>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Divide fire cost by property type; separate EMS</w:t>
            </w:r>
          </w:p>
        </w:tc>
        <w:tc>
          <w:tcPr>
            <w:tcW w:type="dxa" w:w="197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Fire Rescue</w:t>
            </w:r>
          </w:p>
        </w:tc>
        <w:tc>
          <w:tcPr>
            <w:tcW w:type="dxa" w:w="691"/>
            <w:tcBorders>
              <w:top w:val="single" w:color="999999" w:sz="4"/>
              <w:left w:val="single" w:color="999999" w:sz="4"/>
              <w:bottom w:val="single" w:color="999999" w:sz="4"/>
              <w:right w:val="single" w:color="999999" w:sz="4"/>
            </w:tcBorders>
            <w:tcMar>
              <w:top w:type="dxa" w:w="60"/>
              <w:left w:type="dxa" w:w="100"/>
              <w:bottom w:type="dxa" w:w="60"/>
              <w:right w:type="dxa" w:w="100"/>
            </w:tcMar>
          </w:tcPr>
          <w:p/>
        </w:tc>
      </w:tr>
      <w:tr>
        <w:trPr>
          <w:tblHeader w:val="off"/>
        </w:trPr>
        <w:tc>
          <w:tcPr>
            <w:tcW w:type="dxa" w:w="394"/>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8</w:t>
            </w:r>
          </w:p>
        </w:tc>
        <w:tc>
          <w:tcPr>
            <w:tcW w:type="dxa" w:w="3054"/>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Fire/EMS cost split and contracts</w:t>
            </w:r>
          </w:p>
        </w:tc>
        <w:tc>
          <w:tcPr>
            <w:tcW w:type="dxa" w:w="3251"/>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Assessable cost base (draft 05)</w:t>
            </w:r>
          </w:p>
        </w:tc>
        <w:tc>
          <w:tcPr>
            <w:tcW w:type="dxa" w:w="197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Fire Rescue / Finance</w:t>
            </w:r>
          </w:p>
        </w:tc>
        <w:tc>
          <w:tcPr>
            <w:tcW w:type="dxa" w:w="691"/>
            <w:tcBorders>
              <w:top w:val="single" w:color="999999" w:sz="4"/>
              <w:left w:val="single" w:color="999999" w:sz="4"/>
              <w:bottom w:val="single" w:color="999999" w:sz="4"/>
              <w:right w:val="single" w:color="999999" w:sz="4"/>
            </w:tcBorders>
            <w:tcMar>
              <w:top w:type="dxa" w:w="60"/>
              <w:left w:type="dxa" w:w="100"/>
              <w:bottom w:type="dxa" w:w="60"/>
              <w:right w:type="dxa" w:w="100"/>
            </w:tcMar>
          </w:tcPr>
          <w:p/>
        </w:tc>
      </w:tr>
      <w:tr>
        <w:trPr>
          <w:tblHeader w:val="off"/>
        </w:trPr>
        <w:tc>
          <w:tcPr>
            <w:tcW w:type="dxa" w:w="394"/>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9</w:t>
            </w:r>
          </w:p>
        </w:tc>
        <w:tc>
          <w:tcPr>
            <w:tcW w:type="dxa" w:w="3054"/>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Library cooperative agreement</w:t>
            </w:r>
          </w:p>
        </w:tc>
        <w:tc>
          <w:tcPr>
            <w:tcW w:type="dxa" w:w="3251"/>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Whether library fees are allowed</w:t>
            </w:r>
          </w:p>
        </w:tc>
        <w:tc>
          <w:tcPr>
            <w:tcW w:type="dxa" w:w="197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City Attorney / Library</w:t>
            </w:r>
          </w:p>
        </w:tc>
        <w:tc>
          <w:tcPr>
            <w:tcW w:type="dxa" w:w="691"/>
            <w:tcBorders>
              <w:top w:val="single" w:color="999999" w:sz="4"/>
              <w:left w:val="single" w:color="999999" w:sz="4"/>
              <w:bottom w:val="single" w:color="999999" w:sz="4"/>
              <w:right w:val="single" w:color="999999" w:sz="4"/>
            </w:tcBorders>
            <w:tcMar>
              <w:top w:type="dxa" w:w="60"/>
              <w:left w:type="dxa" w:w="100"/>
              <w:bottom w:type="dxa" w:w="60"/>
              <w:right w:type="dxa" w:w="100"/>
            </w:tcMar>
          </w:tcPr>
          <w:p/>
        </w:tc>
      </w:tr>
      <w:tr>
        <w:trPr>
          <w:tblHeader w:val="off"/>
        </w:trPr>
        <w:tc>
          <w:tcPr>
            <w:tcW w:type="dxa" w:w="394"/>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10</w:t>
            </w:r>
          </w:p>
        </w:tc>
        <w:tc>
          <w:tcPr>
            <w:tcW w:type="dxa" w:w="3054"/>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Foundation agreement</w:t>
            </w:r>
          </w:p>
        </w:tc>
        <w:tc>
          <w:tcPr>
            <w:tcW w:type="dxa" w:w="3251"/>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Nonprofit operator option for the Center</w:t>
            </w:r>
          </w:p>
        </w:tc>
        <w:tc>
          <w:tcPr>
            <w:tcW w:type="dxa" w:w="197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City Attorney / Recreation</w:t>
            </w:r>
          </w:p>
        </w:tc>
        <w:tc>
          <w:tcPr>
            <w:tcW w:type="dxa" w:w="691"/>
            <w:tcBorders>
              <w:top w:val="single" w:color="999999" w:sz="4"/>
              <w:left w:val="single" w:color="999999" w:sz="4"/>
              <w:bottom w:val="single" w:color="999999" w:sz="4"/>
              <w:right w:val="single" w:color="999999" w:sz="4"/>
            </w:tcBorders>
            <w:tcMar>
              <w:top w:type="dxa" w:w="60"/>
              <w:left w:type="dxa" w:w="100"/>
              <w:bottom w:type="dxa" w:w="60"/>
              <w:right w:type="dxa" w:w="100"/>
            </w:tcMar>
          </w:tcPr>
          <w:p/>
        </w:tc>
      </w:tr>
      <w:tr>
        <w:trPr>
          <w:tblHeader w:val="off"/>
        </w:trPr>
        <w:tc>
          <w:tcPr>
            <w:tcW w:type="dxa" w:w="394"/>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11</w:t>
            </w:r>
          </w:p>
        </w:tc>
        <w:tc>
          <w:tcPr>
            <w:tcW w:type="dxa" w:w="3054"/>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Prior fire assessment study</w:t>
            </w:r>
          </w:p>
        </w:tc>
        <w:tc>
          <w:tcPr>
            <w:tcW w:type="dxa" w:w="3251"/>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Avoid duplicating work</w:t>
            </w:r>
          </w:p>
        </w:tc>
        <w:tc>
          <w:tcPr>
            <w:tcW w:type="dxa" w:w="197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Fire Rescue / Finance</w:t>
            </w:r>
          </w:p>
        </w:tc>
        <w:tc>
          <w:tcPr>
            <w:tcW w:type="dxa" w:w="691"/>
            <w:tcBorders>
              <w:top w:val="single" w:color="999999" w:sz="4"/>
              <w:left w:val="single" w:color="999999" w:sz="4"/>
              <w:bottom w:val="single" w:color="999999" w:sz="4"/>
              <w:right w:val="single" w:color="999999" w:sz="4"/>
            </w:tcBorders>
            <w:tcMar>
              <w:top w:type="dxa" w:w="60"/>
              <w:left w:type="dxa" w:w="100"/>
              <w:bottom w:type="dxa" w:w="60"/>
              <w:right w:type="dxa" w:w="100"/>
            </w:tcMar>
          </w:tcPr>
          <w:p/>
        </w:tc>
      </w:tr>
      <w:tr>
        <w:trPr>
          <w:tblHeader w:val="off"/>
        </w:trPr>
        <w:tc>
          <w:tcPr>
            <w:tcW w:type="dxa" w:w="394"/>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12</w:t>
            </w:r>
          </w:p>
        </w:tc>
        <w:tc>
          <w:tcPr>
            <w:tcW w:type="dxa" w:w="3054"/>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Property Appraiser / Tax Collector correspondence</w:t>
            </w:r>
          </w:p>
        </w:tc>
        <w:tc>
          <w:tcPr>
            <w:tcW w:type="dxa" w:w="3251"/>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Whether March 1 is available</w:t>
            </w:r>
          </w:p>
        </w:tc>
        <w:tc>
          <w:tcPr>
            <w:tcW w:type="dxa" w:w="197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City Manager</w:t>
            </w:r>
          </w:p>
        </w:tc>
        <w:tc>
          <w:tcPr>
            <w:tcW w:type="dxa" w:w="691"/>
            <w:tcBorders>
              <w:top w:val="single" w:color="999999" w:sz="4"/>
              <w:left w:val="single" w:color="999999" w:sz="4"/>
              <w:bottom w:val="single" w:color="999999" w:sz="4"/>
              <w:right w:val="single" w:color="999999" w:sz="4"/>
            </w:tcBorders>
            <w:tcMar>
              <w:top w:type="dxa" w:w="60"/>
              <w:left w:type="dxa" w:w="100"/>
              <w:bottom w:type="dxa" w:w="60"/>
              <w:right w:type="dxa" w:w="100"/>
            </w:tcMar>
          </w:tcPr>
          <w:p/>
        </w:tc>
      </w:tr>
      <w:tr>
        <w:trPr>
          <w:tblHeader w:val="off"/>
        </w:trPr>
        <w:tc>
          <w:tcPr>
            <w:tcW w:type="dxa" w:w="394"/>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13</w:t>
            </w:r>
          </w:p>
        </w:tc>
        <w:tc>
          <w:tcPr>
            <w:tcW w:type="dxa" w:w="3054"/>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Property Appraiser building file (square footage, units)</w:t>
            </w:r>
          </w:p>
        </w:tc>
        <w:tc>
          <w:tcPr>
            <w:tcW w:type="dxa" w:w="3251"/>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Better rates than the state roll</w:t>
            </w:r>
          </w:p>
        </w:tc>
        <w:tc>
          <w:tcPr>
            <w:tcW w:type="dxa" w:w="197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Pinellas County Property Appraiser</w:t>
            </w:r>
          </w:p>
        </w:tc>
        <w:tc>
          <w:tcPr>
            <w:tcW w:type="dxa" w:w="691"/>
            <w:tcBorders>
              <w:top w:val="single" w:color="999999" w:sz="4"/>
              <w:left w:val="single" w:color="999999" w:sz="4"/>
              <w:bottom w:val="single" w:color="999999" w:sz="4"/>
              <w:right w:val="single" w:color="999999" w:sz="4"/>
            </w:tcBorders>
            <w:tcMar>
              <w:top w:type="dxa" w:w="60"/>
              <w:left w:type="dxa" w:w="100"/>
              <w:bottom w:type="dxa" w:w="60"/>
              <w:right w:type="dxa" w:w="100"/>
            </w:tcMar>
          </w:tcPr>
          <w:p/>
        </w:tc>
      </w:tr>
    </w:tbl>
    <w:p/>
    <w:sectPr>
      <w:headerReference w:type="default" r:id="rId6"/>
      <w:footerReference w:type="default" r:id="rId7"/>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14 Public Records Requests  |  Page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C00000"/>
        <w:sz w:val="16"/>
        <w:szCs w:val="16"/>
      </w:rPr>
      <w:t xml:space="preserve">DRAFT for City Attorney review. Citizen-prepared. Not legal advice. 2026-11-04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after="14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240"/>
      <w:outlineLvl w:val="0"/>
    </w:pPr>
    <w:rPr>
      <w:rFonts w:ascii="Calibri" w:cs="Calibri" w:eastAsia="Calibri" w:hAnsi="Calibri"/>
      <w:b/>
      <w:bCs/>
      <w:color w:val="1F3864"/>
      <w:sz w:val="30"/>
      <w:szCs w:val="30"/>
    </w:rPr>
  </w:style>
  <w:style w:type="paragraph" w:styleId="Heading2">
    <w:name w:val="Heading 2"/>
    <w:basedOn w:val="Normal"/>
    <w:next w:val="Normal"/>
    <w:qFormat/>
    <w:pPr>
      <w:keepNext/>
      <w:spacing w:after="120" w:before="240"/>
      <w:outlineLvl w:val="1"/>
    </w:pPr>
    <w:rPr>
      <w:rFonts w:ascii="Calibri" w:cs="Calibri" w:eastAsia="Calibri" w:hAnsi="Calibri"/>
      <w:b/>
      <w:bCs/>
      <w:color w:val="1F3864"/>
      <w:sz w:val="26"/>
      <w:szCs w:val="26"/>
    </w:rPr>
  </w:style>
  <w:style w:type="paragraph" w:styleId="Heading3">
    <w:name w:val="Heading 3"/>
    <w:basedOn w:val="Normal"/>
    <w:next w:val="Normal"/>
    <w:qFormat/>
    <w:pPr>
      <w:keepNext/>
      <w:spacing w:after="100" w:before="200"/>
      <w:outlineLvl w:val="2"/>
    </w:pPr>
    <w:rPr>
      <w:rFonts w:ascii="Calibri" w:cs="Calibri" w:eastAsia="Calibri" w:hAnsi="Calibri"/>
      <w:b/>
      <w:bCs/>
      <w:sz w:val="23"/>
      <w:szCs w:val="23"/>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2026-11-04T20:15:33.624Z</dcterms:created>
  <dcterms:modified xsi:type="dcterms:W3CDTF">2026-11-04T20:15:33.624Z</dcterms:modified>
</cp:coreProperties>
</file>

<file path=docProps/custom.xml><?xml version="1.0" encoding="utf-8"?>
<Properties xmlns="http://schemas.openxmlformats.org/officeDocument/2006/custom-properties" xmlns:vt="http://schemas.openxmlformats.org/officeDocument/2006/docPropsVTypes"/>
</file>